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山西省人民政府办公厅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关于印发《山西省公共资源交易目录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2025年版</w:t>
      </w:r>
      <w:r>
        <w:rPr>
          <w:rFonts w:hint="eastAsia" w:ascii="方正小标宋_GBK" w:hAns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（代拟稿）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各市人民政府，省人民政府各委、办、厅、局：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根据《国务院办公厅转发国家发展改革委关于深化公共资源交易平台整合共享指导意见的通知》（国办函〔2019〕41号）、</w:t>
      </w:r>
      <w:r>
        <w:rPr>
          <w:rFonts w:hint="eastAsia" w:ascii="仿宋_GB2312" w:hAnsi="仿宋_GB2312" w:eastAsia="仿宋_GB2312" w:cs="仿宋_GB2312"/>
          <w:sz w:val="32"/>
          <w:szCs w:val="32"/>
          <w:lang w:val="en-US" w:eastAsia="zh-CN"/>
        </w:rPr>
        <w:t>《国家发展改革委关于修订印发〈全国公共资源交易目录指引〉的通知》（发改法规〔2023〕1551号）</w:t>
      </w:r>
      <w:r>
        <w:rPr>
          <w:rFonts w:hint="eastAsia" w:ascii="仿宋_GB2312" w:hAnsi="仿宋_GB2312" w:eastAsia="仿宋_GB2312" w:cs="仿宋_GB2312"/>
          <w:sz w:val="32"/>
          <w:szCs w:val="32"/>
          <w:lang w:eastAsia="zh-CN"/>
        </w:rPr>
        <w:t>要求，经省人民政府同意，现将《山西省公共资源交易目录（</w:t>
      </w:r>
      <w:r>
        <w:rPr>
          <w:rFonts w:hint="eastAsia" w:ascii="仿宋_GB2312" w:hAnsi="仿宋_GB2312" w:eastAsia="仿宋_GB2312" w:cs="仿宋_GB2312"/>
          <w:sz w:val="32"/>
          <w:szCs w:val="32"/>
          <w:lang w:val="en-US" w:eastAsia="zh-CN"/>
        </w:rPr>
        <w:t>2025年版</w:t>
      </w:r>
      <w:r>
        <w:rPr>
          <w:rFonts w:hint="eastAsia" w:ascii="仿宋_GB2312" w:hAnsi="仿宋_GB2312" w:eastAsia="仿宋_GB2312" w:cs="仿宋_GB2312"/>
          <w:sz w:val="32"/>
          <w:szCs w:val="32"/>
          <w:lang w:eastAsia="zh-CN"/>
        </w:rPr>
        <w:t>）》（以下简称《目录》）印发你们，并就有关事项通知如下：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eastAsia="zh-CN"/>
        </w:rPr>
        <w:t>凡列入《目录》的公共资源交易项目，必须全部纳入全省统一的公共资源交易平台体系。对涉及国家安全、国家秘密、抢险救灾、公共安全等特殊项目，以及国家有明确规</w:t>
      </w:r>
      <w:bookmarkStart w:id="0" w:name="_GoBack"/>
      <w:bookmarkEnd w:id="0"/>
      <w:r>
        <w:rPr>
          <w:rFonts w:hint="eastAsia" w:ascii="仿宋_GB2312" w:hAnsi="仿宋_GB2312" w:eastAsia="仿宋_GB2312" w:cs="仿宋_GB2312"/>
          <w:sz w:val="32"/>
          <w:szCs w:val="32"/>
          <w:lang w:eastAsia="zh-CN"/>
        </w:rPr>
        <w:t>定的，按有关规定执行。</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highlight w:val="none"/>
          <w:u w:val="none"/>
          <w:lang w:eastAsia="zh-CN"/>
        </w:rPr>
        <w:t>允许和鼓励中央企业在晋投资项目、非依法必招项目等未列入《目录》的公共资源交易项目，进入全省统一的公共资源交易平台进行交易</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机电产品国际招标、林权交易、草原交易、农村集体持有资产收益权转让、碳排放权交易、用能权交易、</w:t>
      </w:r>
      <w:r>
        <w:rPr>
          <w:rFonts w:hint="eastAsia" w:ascii="仿宋_GB2312" w:hAnsi="仿宋_GB2312" w:eastAsia="仿宋_GB2312" w:cs="仿宋_GB2312"/>
          <w:sz w:val="32"/>
          <w:szCs w:val="32"/>
          <w:highlight w:val="none"/>
          <w:u w:val="none"/>
          <w:lang w:eastAsia="zh-CN"/>
        </w:rPr>
        <w:t>用水权交易</w:t>
      </w:r>
      <w:r>
        <w:rPr>
          <w:rFonts w:hint="eastAsia" w:ascii="仿宋_GB2312" w:hAnsi="仿宋_GB2312" w:eastAsia="仿宋_GB2312" w:cs="仿宋_GB2312"/>
          <w:sz w:val="32"/>
          <w:szCs w:val="32"/>
          <w:u w:val="none"/>
          <w:lang w:eastAsia="zh-CN"/>
        </w:rPr>
        <w:t>等符合市场化配置的公共资源，</w:t>
      </w:r>
      <w:r>
        <w:rPr>
          <w:rFonts w:hint="eastAsia" w:ascii="仿宋_GB2312" w:hAnsi="仿宋_GB2312" w:eastAsia="仿宋_GB2312" w:cs="仿宋_GB2312"/>
          <w:sz w:val="32"/>
          <w:szCs w:val="32"/>
          <w:highlight w:val="none"/>
          <w:u w:val="none"/>
          <w:lang w:eastAsia="zh-CN"/>
        </w:rPr>
        <w:t>由国家层面统筹组织交易</w:t>
      </w:r>
      <w:r>
        <w:rPr>
          <w:rFonts w:hint="eastAsia" w:ascii="仿宋_GB2312" w:hAnsi="仿宋_GB2312" w:eastAsia="仿宋_GB2312" w:cs="仿宋_GB2312"/>
          <w:sz w:val="32"/>
          <w:szCs w:val="32"/>
          <w:u w:val="none"/>
          <w:lang w:eastAsia="zh-CN"/>
        </w:rPr>
        <w:t>或暂未在省内开展交易的，按照国家或我省出台的相关规定执行。</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各级有关行政监管部门按照职责分工，负责推进列入《目录》的公共资源交易项目通过进场交易、信息共享等方式统一纳入平台体系。由各级有关行政监管部门统一建设的业务管理系统，涵盖公共资源交易事项的，应将交易环节的信息数据统一归集至公共资源交易平台，实现交易信息统一汇聚、集中发布。同时，应进一步加强对公共资源交易活动的监督管理，作出公共资源交易相关行政处罚、限制参与公共资源交易等行政决定后，要将相应信息共享至公共资源交易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各级行政审批服务管理部门定期对《目录》执行情况进行监督检查，对推进工作不力的要进行通报并及时向本级人民政府报告。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u w:val="none"/>
          <w:lang w:eastAsia="zh-CN"/>
        </w:rPr>
        <w:t>各级公共资源交易平台运行服务机构应立足公共服务</w:t>
      </w:r>
      <w:r>
        <w:rPr>
          <w:rFonts w:hint="eastAsia" w:ascii="仿宋_GB2312" w:hAnsi="仿宋_GB2312" w:eastAsia="仿宋_GB2312" w:cs="仿宋_GB2312"/>
          <w:sz w:val="32"/>
          <w:szCs w:val="32"/>
          <w:highlight w:val="none"/>
          <w:lang w:eastAsia="zh-CN"/>
        </w:rPr>
        <w:t>职能定位，不断优化见证、场所、信息、档案、专家抽取等服务，为各类公共资源交易提供规范、高效、便捷的服务。要加强现场交易秩序管理，对发现的异常情况或违法行为线索，及时记录并报送相关行政监管部门，协助行政监督部门、纪检监察机关、公安机关等开展调查取证。</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color w:val="000000"/>
          <w:sz w:val="32"/>
          <w:szCs w:val="32"/>
          <w:lang w:val="en-US" w:eastAsia="zh-CN"/>
        </w:rPr>
        <w:t>各市所辖</w:t>
      </w:r>
      <w:r>
        <w:rPr>
          <w:rFonts w:hint="eastAsia" w:ascii="仿宋_GB2312" w:hAnsi="仿宋_GB2312" w:eastAsia="仿宋_GB2312" w:cs="仿宋_GB2312"/>
          <w:color w:val="000000"/>
          <w:sz w:val="32"/>
          <w:szCs w:val="32"/>
          <w:lang w:val="en-US" w:eastAsia="zh-CN"/>
        </w:rPr>
        <w:t>县（市、区）</w:t>
      </w:r>
      <w:r>
        <w:rPr>
          <w:rFonts w:hint="eastAsia" w:ascii="仿宋_GB2312" w:hAnsi="仿宋_GB2312" w:eastAsia="仿宋_GB2312" w:cs="仿宋_GB2312"/>
          <w:sz w:val="32"/>
          <w:szCs w:val="32"/>
          <w:lang w:val="en-US" w:eastAsia="zh-CN"/>
        </w:rPr>
        <w:t>不再新建公共资源交易平台和各类电子交易系统，已经建成的全部整合纳入</w:t>
      </w:r>
      <w:r>
        <w:rPr>
          <w:rFonts w:hint="eastAsia" w:ascii="仿宋_GB2312" w:hAnsi="仿宋_GB2312" w:eastAsia="仿宋_GB2312" w:cs="仿宋_GB2312"/>
          <w:color w:val="000000"/>
          <w:sz w:val="32"/>
          <w:szCs w:val="32"/>
          <w:lang w:val="en-US" w:eastAsia="zh-CN"/>
        </w:rPr>
        <w:t>所属行政区域</w:t>
      </w:r>
      <w:r>
        <w:rPr>
          <w:rFonts w:hint="eastAsia" w:ascii="仿宋_GB2312" w:hAnsi="仿宋_GB2312" w:eastAsia="仿宋_GB2312" w:cs="仿宋_GB2312"/>
          <w:sz w:val="32"/>
          <w:szCs w:val="32"/>
          <w:lang w:val="en-US" w:eastAsia="zh-CN"/>
        </w:rPr>
        <w:t>市级公共资源交易平台，</w:t>
      </w:r>
      <w:r>
        <w:rPr>
          <w:rFonts w:hint="eastAsia" w:ascii="仿宋_GB2312" w:hAnsi="仿宋_GB2312" w:eastAsia="仿宋_GB2312" w:cs="仿宋_GB2312"/>
          <w:color w:val="000000"/>
          <w:sz w:val="32"/>
          <w:szCs w:val="32"/>
          <w:lang w:val="en-US" w:eastAsia="zh-CN"/>
        </w:rPr>
        <w:t>按照</w:t>
      </w:r>
      <w:r>
        <w:rPr>
          <w:rFonts w:hint="default" w:ascii="仿宋_GB2312" w:hAnsi="仿宋_GB2312" w:eastAsia="仿宋_GB2312" w:cs="仿宋_GB2312"/>
          <w:color w:val="000000"/>
          <w:sz w:val="32"/>
          <w:szCs w:val="32"/>
          <w:lang w:val="en-US" w:eastAsia="zh-CN"/>
        </w:rPr>
        <w:t>终端用户</w:t>
      </w:r>
      <w:r>
        <w:rPr>
          <w:rFonts w:hint="eastAsia" w:ascii="仿宋_GB2312" w:hAnsi="仿宋_GB2312" w:eastAsia="仿宋_GB2312" w:cs="仿宋_GB2312"/>
          <w:color w:val="000000"/>
          <w:sz w:val="32"/>
          <w:szCs w:val="32"/>
          <w:lang w:val="en-US" w:eastAsia="zh-CN"/>
        </w:rPr>
        <w:t>的方式由市级公共资源交易平台依托公共资源交易一体化平台</w:t>
      </w:r>
      <w:r>
        <w:rPr>
          <w:rFonts w:hint="default" w:ascii="仿宋_GB2312" w:hAnsi="仿宋_GB2312" w:eastAsia="仿宋_GB2312" w:cs="仿宋_GB2312"/>
          <w:color w:val="000000"/>
          <w:sz w:val="32"/>
          <w:szCs w:val="32"/>
          <w:lang w:val="en-US" w:eastAsia="zh-CN"/>
        </w:rPr>
        <w:t>提供</w:t>
      </w:r>
      <w:r>
        <w:rPr>
          <w:rFonts w:hint="eastAsia" w:ascii="仿宋_GB2312" w:hAnsi="仿宋_GB2312" w:eastAsia="仿宋_GB2312" w:cs="仿宋_GB2312"/>
          <w:color w:val="000000"/>
          <w:sz w:val="32"/>
          <w:szCs w:val="32"/>
          <w:lang w:val="en-US" w:eastAsia="zh-CN"/>
        </w:rPr>
        <w:t>服务。</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是列入《目录》的公共资源交易项目，各市必须统一纳入平台体系。同时各市可结合本地区实际，按照“只增不减”的原则，在《目录》基础上增加交易项目类别和项目内容、细化规模标准及范围等，制定出台本地区公共资源交易目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《目录》实行动态管理，由省行政审批服务管理局负责解释和修订。</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本《目录》自印发之日起实施，</w:t>
      </w:r>
      <w:r>
        <w:rPr>
          <w:rFonts w:hint="eastAsia" w:ascii="仿宋_GB2312" w:hAnsi="仿宋_GB2312" w:eastAsia="仿宋_GB2312" w:cs="仿宋_GB2312"/>
          <w:sz w:val="32"/>
          <w:szCs w:val="32"/>
          <w:lang w:val="en-US" w:eastAsia="zh-CN"/>
        </w:rPr>
        <w:t>2020年12月29日印发的</w:t>
      </w:r>
      <w:r>
        <w:rPr>
          <w:rFonts w:hint="eastAsia" w:ascii="仿宋_GB2312" w:hAnsi="仿宋_GB2312" w:eastAsia="仿宋_GB2312" w:cs="仿宋_GB2312"/>
          <w:sz w:val="32"/>
          <w:szCs w:val="32"/>
          <w:lang w:eastAsia="zh-CN"/>
        </w:rPr>
        <w:t>《山西省公共资源交易目录（</w:t>
      </w:r>
      <w:r>
        <w:rPr>
          <w:rFonts w:hint="eastAsia" w:ascii="仿宋_GB2312" w:hAnsi="仿宋_GB2312" w:eastAsia="仿宋_GB2312" w:cs="仿宋_GB2312"/>
          <w:sz w:val="32"/>
          <w:szCs w:val="32"/>
          <w:lang w:val="en-US" w:eastAsia="zh-CN"/>
        </w:rPr>
        <w:t>2020年版</w:t>
      </w:r>
      <w:r>
        <w:rPr>
          <w:rFonts w:hint="eastAsia" w:ascii="仿宋_GB2312" w:hAnsi="仿宋_GB2312" w:eastAsia="仿宋_GB2312" w:cs="仿宋_GB2312"/>
          <w:sz w:val="32"/>
          <w:szCs w:val="32"/>
          <w:lang w:eastAsia="zh-CN"/>
        </w:rPr>
        <w:t>）》（晋政办发〔20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lang w:eastAsia="zh-CN"/>
        </w:rPr>
        <w:t>号）同时废止。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山西省人民政府办公厅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sectPr>
      <w:footerReference r:id="rId3" w:type="default"/>
      <w:pgSz w:w="11906" w:h="16838"/>
      <w:pgMar w:top="1803" w:right="1440" w:bottom="144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- 12 -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- 12 -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3FB6B"/>
    <w:multiLevelType w:val="singleLevel"/>
    <w:tmpl w:val="6013FB6B"/>
    <w:lvl w:ilvl="0" w:tentative="0">
      <w:start w:val="1"/>
      <w:numFmt w:val="chineseCounting"/>
      <w:suff w:val="nothing"/>
      <w:lvlText w:val="%1、"/>
      <w:lvlJc w:val="left"/>
      <w:pPr>
        <w:ind w:left="0" w:firstLine="397"/>
      </w:pPr>
      <w:rPr>
        <w:rFonts w:hint="eastAsia" w:ascii="仿宋_GB2312" w:hAnsi="仿宋_GB2312" w:eastAsia="仿宋_GB2312" w:cs="仿宋_GB2312"/>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Tg2NDRhMWM4ZGRjNTdkNGVjMjcxYTg0NzBhYzQifQ=="/>
  </w:docVars>
  <w:rsids>
    <w:rsidRoot w:val="00000000"/>
    <w:rsid w:val="00D81607"/>
    <w:rsid w:val="01BF2F64"/>
    <w:rsid w:val="02874451"/>
    <w:rsid w:val="05663F59"/>
    <w:rsid w:val="056B36BE"/>
    <w:rsid w:val="06131FB5"/>
    <w:rsid w:val="064B243D"/>
    <w:rsid w:val="06707622"/>
    <w:rsid w:val="07E435DE"/>
    <w:rsid w:val="084D7AFC"/>
    <w:rsid w:val="08A50B06"/>
    <w:rsid w:val="09185F45"/>
    <w:rsid w:val="09D866B7"/>
    <w:rsid w:val="09ED279D"/>
    <w:rsid w:val="0AB942CC"/>
    <w:rsid w:val="0B423777"/>
    <w:rsid w:val="0B863280"/>
    <w:rsid w:val="0BC21FEE"/>
    <w:rsid w:val="0CED3C93"/>
    <w:rsid w:val="0D16109B"/>
    <w:rsid w:val="0D7B00B8"/>
    <w:rsid w:val="0D803170"/>
    <w:rsid w:val="0E794D2B"/>
    <w:rsid w:val="10653083"/>
    <w:rsid w:val="126377FA"/>
    <w:rsid w:val="12687372"/>
    <w:rsid w:val="12CB3E1D"/>
    <w:rsid w:val="13E31C95"/>
    <w:rsid w:val="13E73C3D"/>
    <w:rsid w:val="14E951B7"/>
    <w:rsid w:val="150650D8"/>
    <w:rsid w:val="151333F4"/>
    <w:rsid w:val="168D5AC5"/>
    <w:rsid w:val="17504707"/>
    <w:rsid w:val="18C87E97"/>
    <w:rsid w:val="1AA070D9"/>
    <w:rsid w:val="1AAE5233"/>
    <w:rsid w:val="1AEC4C79"/>
    <w:rsid w:val="1CE63CA8"/>
    <w:rsid w:val="1D2A168B"/>
    <w:rsid w:val="1E113805"/>
    <w:rsid w:val="1FA3746D"/>
    <w:rsid w:val="1FB51AC3"/>
    <w:rsid w:val="217B3B5E"/>
    <w:rsid w:val="24032071"/>
    <w:rsid w:val="24876354"/>
    <w:rsid w:val="263C6668"/>
    <w:rsid w:val="289C6C00"/>
    <w:rsid w:val="28F7438D"/>
    <w:rsid w:val="297D1461"/>
    <w:rsid w:val="29874B10"/>
    <w:rsid w:val="2B701248"/>
    <w:rsid w:val="2D591EF1"/>
    <w:rsid w:val="2F073AA5"/>
    <w:rsid w:val="2F2E6E8A"/>
    <w:rsid w:val="31F441C3"/>
    <w:rsid w:val="33806C7F"/>
    <w:rsid w:val="357E61F9"/>
    <w:rsid w:val="3AD4029E"/>
    <w:rsid w:val="3F27327C"/>
    <w:rsid w:val="408F369C"/>
    <w:rsid w:val="409A4C22"/>
    <w:rsid w:val="413144EF"/>
    <w:rsid w:val="41514871"/>
    <w:rsid w:val="45115A5A"/>
    <w:rsid w:val="4864218A"/>
    <w:rsid w:val="499E4C24"/>
    <w:rsid w:val="4B3D73D2"/>
    <w:rsid w:val="4CF64AA5"/>
    <w:rsid w:val="4D346E49"/>
    <w:rsid w:val="4FBB327E"/>
    <w:rsid w:val="4FD01DE9"/>
    <w:rsid w:val="50D95E77"/>
    <w:rsid w:val="51AA117D"/>
    <w:rsid w:val="54CC7B55"/>
    <w:rsid w:val="55161B02"/>
    <w:rsid w:val="564C5B03"/>
    <w:rsid w:val="58086FFE"/>
    <w:rsid w:val="5C005395"/>
    <w:rsid w:val="5EE36F83"/>
    <w:rsid w:val="5FB62A2E"/>
    <w:rsid w:val="60F45E92"/>
    <w:rsid w:val="612E1F4D"/>
    <w:rsid w:val="61FE0CF5"/>
    <w:rsid w:val="62EF0EBF"/>
    <w:rsid w:val="649D56F9"/>
    <w:rsid w:val="66142EE8"/>
    <w:rsid w:val="67275789"/>
    <w:rsid w:val="67893ABD"/>
    <w:rsid w:val="6A2B0A14"/>
    <w:rsid w:val="6B271448"/>
    <w:rsid w:val="6CB319F4"/>
    <w:rsid w:val="6E301927"/>
    <w:rsid w:val="6E5F53D8"/>
    <w:rsid w:val="6F064CB2"/>
    <w:rsid w:val="73103417"/>
    <w:rsid w:val="75FC2F4F"/>
    <w:rsid w:val="7699555B"/>
    <w:rsid w:val="77161993"/>
    <w:rsid w:val="772612E6"/>
    <w:rsid w:val="788A04CC"/>
    <w:rsid w:val="7B28063B"/>
    <w:rsid w:val="7B53793F"/>
    <w:rsid w:val="7B8E600F"/>
    <w:rsid w:val="7BA93BCA"/>
    <w:rsid w:val="7BB82927"/>
    <w:rsid w:val="7F725920"/>
    <w:rsid w:val="7FD80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99"/>
    <w:pPr>
      <w:spacing w:beforeAutospacing="1" w:afterAutospacing="1" w:line="480" w:lineRule="auto"/>
      <w:ind w:left="420" w:leftChars="200"/>
    </w:pPr>
  </w:style>
  <w:style w:type="paragraph" w:styleId="3">
    <w:name w:val="Body Text First Indent 2"/>
    <w:basedOn w:val="1"/>
    <w:next w:val="1"/>
    <w:qFormat/>
    <w:uiPriority w:val="99"/>
    <w:pPr>
      <w:ind w:firstLine="640" w:firstLineChars="200"/>
    </w:pPr>
    <w:rPr>
      <w:rFonts w:ascii="仿宋" w:hAnsi="仿宋" w:eastAsia="仿宋" w:cs="仿宋"/>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1202</Words>
  <Characters>1232</Characters>
  <Lines>0</Lines>
  <Paragraphs>0</Paragraphs>
  <TotalTime>1</TotalTime>
  <ScaleCrop>false</ScaleCrop>
  <LinksUpToDate>false</LinksUpToDate>
  <CharactersWithSpaces>1295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gaoliping</dc:creator>
  <cp:lastModifiedBy>张颖</cp:lastModifiedBy>
  <cp:lastPrinted>2025-07-30T08:16:00Z</cp:lastPrinted>
  <dcterms:modified xsi:type="dcterms:W3CDTF">2025-09-08T07:40:19Z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C9563749B66F44A1963365BD2A43AB1C_12</vt:lpwstr>
  </property>
</Properties>
</file>