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BD7E0">
      <w:pPr>
        <w:spacing w:line="580" w:lineRule="exact"/>
        <w:jc w:val="both"/>
        <w:rPr>
          <w:rFonts w:hint="eastAsia" w:ascii="方正小标宋_GBK" w:hAnsi="方正小标宋_GBK" w:eastAsia="方正小标宋_GBK" w:cs="方正小标宋_GBK"/>
          <w:sz w:val="44"/>
          <w:szCs w:val="44"/>
        </w:rPr>
      </w:pPr>
    </w:p>
    <w:p w14:paraId="66FB70E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_GBK" w:hAnsi="方正小标宋_GBK" w:eastAsia="方正小标宋_GBK" w:cs="方正小标宋_GBK"/>
          <w:sz w:val="44"/>
          <w:szCs w:val="44"/>
        </w:rPr>
      </w:pPr>
      <w:bookmarkStart w:id="0" w:name="OLE_LINK2"/>
      <w:r>
        <w:rPr>
          <w:rFonts w:hint="eastAsia" w:ascii="方正小标宋_GBK" w:hAnsi="方正小标宋_GBK" w:eastAsia="方正小标宋_GBK" w:cs="方正小标宋_GBK"/>
          <w:sz w:val="44"/>
          <w:szCs w:val="44"/>
        </w:rPr>
        <w:t>2026-2027年度山西省乘用车（新能源）封闭式框架协议采购项目采购需求</w:t>
      </w:r>
    </w:p>
    <w:p w14:paraId="423C18E0">
      <w:pPr>
        <w:spacing w:line="600" w:lineRule="exact"/>
        <w:jc w:val="center"/>
        <w:rPr>
          <w:rFonts w:ascii="方正小标宋_GBK" w:hAnsi="Calibri" w:eastAsia="方正小标宋_GBK" w:cs="Arial"/>
          <w:sz w:val="44"/>
          <w:szCs w:val="44"/>
        </w:rPr>
      </w:pPr>
      <w:r>
        <w:rPr>
          <w:rFonts w:hint="eastAsia" w:ascii="方正小标宋_GBK" w:hAnsi="方正小标宋_GBK" w:eastAsia="方正小标宋_GBK" w:cs="方正小标宋_GBK"/>
          <w:sz w:val="44"/>
          <w:szCs w:val="44"/>
        </w:rPr>
        <w:t>(征求意见稿)</w:t>
      </w:r>
    </w:p>
    <w:p w14:paraId="01323CC8">
      <w:pPr>
        <w:widowControl/>
        <w:numPr>
          <w:ilvl w:val="0"/>
          <w:numId w:val="1"/>
        </w:numPr>
        <w:snapToGrid w:val="0"/>
        <w:spacing w:line="500" w:lineRule="atLeast"/>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采购方式和评审</w:t>
      </w:r>
    </w:p>
    <w:p w14:paraId="7D7DE99C">
      <w:pPr>
        <w:widowControl/>
        <w:snapToGrid w:val="0"/>
        <w:spacing w:line="500" w:lineRule="atLeast"/>
        <w:ind w:firstLine="640" w:firstLineChars="200"/>
        <w:jc w:val="both"/>
        <w:rPr>
          <w:rFonts w:ascii="仿宋_GB2312" w:hAnsi="仿宋" w:eastAsia="仿宋_GB2312" w:cs="Arial"/>
          <w:sz w:val="32"/>
          <w:szCs w:val="32"/>
        </w:rPr>
      </w:pPr>
      <w:r>
        <w:rPr>
          <w:rFonts w:hint="eastAsia" w:ascii="仿宋_GB2312" w:hAnsi="仿宋" w:eastAsia="仿宋_GB2312" w:cs="Arial"/>
          <w:sz w:val="32"/>
          <w:szCs w:val="32"/>
          <w:lang w:val="en-US" w:eastAsia="zh-CN"/>
        </w:rPr>
        <w:t>本项目采用封闭式框架协议采购方式，使用价格优先法，每包设置20%的淘汰率。</w:t>
      </w:r>
    </w:p>
    <w:p w14:paraId="60153A9E">
      <w:pPr>
        <w:widowControl/>
        <w:snapToGrid w:val="0"/>
        <w:spacing w:line="500" w:lineRule="atLeast"/>
        <w:ind w:firstLine="640" w:firstLineChars="200"/>
        <w:jc w:val="both"/>
        <w:rPr>
          <w:rFonts w:hint="eastAsia" w:ascii="仿宋_GB2312" w:hAnsi="仿宋" w:eastAsia="仿宋_GB2312" w:cs="Arial"/>
          <w:sz w:val="32"/>
          <w:szCs w:val="32"/>
        </w:rPr>
      </w:pPr>
      <w:bookmarkStart w:id="1" w:name="OLE_LINK7"/>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w:t>
      </w:r>
      <w:r>
        <w:rPr>
          <w:rFonts w:hint="eastAsia" w:ascii="黑体" w:hAnsi="黑体" w:eastAsia="黑体" w:cs="黑体"/>
          <w:sz w:val="32"/>
          <w:szCs w:val="32"/>
        </w:rPr>
        <w:t>供应商的资格条件</w:t>
      </w:r>
    </w:p>
    <w:p w14:paraId="7CD227EA">
      <w:pPr>
        <w:widowControl/>
        <w:numPr>
          <w:ilvl w:val="0"/>
          <w:numId w:val="0"/>
        </w:numPr>
        <w:snapToGrid w:val="0"/>
        <w:spacing w:line="500" w:lineRule="atLeast"/>
        <w:ind w:firstLine="640" w:firstLineChars="200"/>
        <w:jc w:val="both"/>
        <w:rPr>
          <w:rFonts w:hint="eastAsia" w:ascii="仿宋_GB2312" w:hAnsi="仿宋" w:eastAsia="仿宋_GB2312" w:cs="Arial"/>
          <w:sz w:val="32"/>
          <w:szCs w:val="32"/>
        </w:rPr>
      </w:pPr>
      <w:r>
        <w:rPr>
          <w:rFonts w:hint="eastAsia" w:ascii="仿宋_GB2312" w:hAnsi="仿宋" w:eastAsia="仿宋_GB2312" w:cs="Arial"/>
          <w:sz w:val="32"/>
          <w:szCs w:val="32"/>
        </w:rPr>
        <w:t>响应供应商</w:t>
      </w:r>
      <w:bookmarkEnd w:id="1"/>
      <w:r>
        <w:rPr>
          <w:rFonts w:hint="eastAsia" w:ascii="仿宋_GB2312" w:hAnsi="仿宋" w:eastAsia="仿宋_GB2312" w:cs="Arial"/>
          <w:sz w:val="32"/>
          <w:szCs w:val="32"/>
        </w:rPr>
        <w:t>必须是响应产品的生产者（制造商）或其授权的唯一供应商，授权供应商参加框架协议采购的必须在响应文件中提供产品生产者（制造商）针对本项目出具的唯一授权函扫描件。</w:t>
      </w:r>
    </w:p>
    <w:p w14:paraId="5F60D520">
      <w:pPr>
        <w:widowControl/>
        <w:numPr>
          <w:ilvl w:val="0"/>
          <w:numId w:val="0"/>
        </w:numPr>
        <w:snapToGrid w:val="0"/>
        <w:spacing w:line="500" w:lineRule="atLeast"/>
        <w:ind w:firstLine="640" w:firstLineChars="200"/>
        <w:jc w:val="both"/>
        <w:rPr>
          <w:rFonts w:hint="default" w:ascii="黑体" w:hAnsi="黑体" w:eastAsia="黑体" w:cs="黑体"/>
          <w:sz w:val="32"/>
          <w:szCs w:val="32"/>
          <w:lang w:val="en-US" w:eastAsia="zh-CN"/>
        </w:rPr>
      </w:pPr>
      <w:r>
        <w:rPr>
          <w:rFonts w:hint="eastAsia" w:ascii="仿宋_GB2312" w:hAnsi="仿宋" w:eastAsia="仿宋_GB2312" w:cs="Arial"/>
          <w:sz w:val="32"/>
          <w:szCs w:val="32"/>
          <w:lang w:val="en-US" w:eastAsia="zh-CN"/>
        </w:rPr>
        <w:t>若</w:t>
      </w:r>
      <w:r>
        <w:rPr>
          <w:rFonts w:hint="eastAsia" w:ascii="仿宋_GB2312" w:hAnsi="仿宋" w:eastAsia="仿宋_GB2312" w:cs="Arial"/>
          <w:sz w:val="32"/>
          <w:szCs w:val="32"/>
        </w:rPr>
        <w:t>响应产品的生产者（制造商）</w:t>
      </w:r>
      <w:r>
        <w:rPr>
          <w:rFonts w:hint="eastAsia" w:ascii="仿宋_GB2312" w:hAnsi="仿宋" w:eastAsia="仿宋_GB2312" w:cs="Arial"/>
          <w:sz w:val="32"/>
          <w:szCs w:val="32"/>
          <w:lang w:val="en-US" w:eastAsia="zh-CN"/>
        </w:rPr>
        <w:t>在国内已确定全国唯一总经销商</w:t>
      </w:r>
      <w:r>
        <w:rPr>
          <w:rFonts w:hint="eastAsia" w:ascii="仿宋_GB2312" w:hAnsi="仿宋" w:eastAsia="仿宋_GB2312" w:cs="Arial"/>
          <w:sz w:val="32"/>
          <w:szCs w:val="32"/>
        </w:rPr>
        <w:t>，</w:t>
      </w:r>
      <w:r>
        <w:rPr>
          <w:rFonts w:hint="eastAsia" w:ascii="仿宋_GB2312" w:hAnsi="仿宋" w:eastAsia="仿宋_GB2312" w:cs="Arial"/>
          <w:sz w:val="32"/>
          <w:szCs w:val="32"/>
          <w:lang w:val="en-US" w:eastAsia="zh-CN"/>
        </w:rPr>
        <w:t>且由全国唯一总经销商</w:t>
      </w:r>
      <w:r>
        <w:rPr>
          <w:rFonts w:hint="eastAsia" w:ascii="仿宋_GB2312" w:hAnsi="仿宋" w:eastAsia="仿宋_GB2312" w:cs="Arial"/>
          <w:sz w:val="32"/>
          <w:szCs w:val="32"/>
        </w:rPr>
        <w:t>授权的唯一供应商</w:t>
      </w:r>
      <w:r>
        <w:rPr>
          <w:rFonts w:hint="eastAsia" w:ascii="仿宋_GB2312" w:hAnsi="仿宋" w:eastAsia="仿宋_GB2312" w:cs="Arial"/>
          <w:sz w:val="32"/>
          <w:szCs w:val="32"/>
          <w:lang w:eastAsia="zh-CN"/>
        </w:rPr>
        <w:t>参与本次征集</w:t>
      </w:r>
      <w:r>
        <w:rPr>
          <w:rFonts w:hint="eastAsia" w:ascii="仿宋_GB2312" w:hAnsi="仿宋" w:eastAsia="仿宋_GB2312" w:cs="Arial"/>
          <w:sz w:val="32"/>
          <w:szCs w:val="32"/>
        </w:rPr>
        <w:t>，</w:t>
      </w:r>
      <w:r>
        <w:rPr>
          <w:rFonts w:hint="eastAsia" w:ascii="仿宋_GB2312" w:hAnsi="仿宋" w:eastAsia="仿宋_GB2312" w:cs="Arial"/>
          <w:sz w:val="32"/>
          <w:szCs w:val="32"/>
          <w:lang w:val="en-US" w:eastAsia="zh-CN"/>
        </w:rPr>
        <w:t>必须提供合法有效的相关证明材料</w:t>
      </w:r>
      <w:r>
        <w:rPr>
          <w:rFonts w:hint="eastAsia" w:ascii="仿宋_GB2312" w:hAnsi="仿宋" w:eastAsia="仿宋_GB2312" w:cs="Arial"/>
          <w:sz w:val="32"/>
          <w:szCs w:val="32"/>
        </w:rPr>
        <w:t>扫描件</w:t>
      </w:r>
      <w:r>
        <w:rPr>
          <w:rFonts w:hint="eastAsia" w:ascii="仿宋_GB2312" w:hAnsi="仿宋" w:eastAsia="仿宋_GB2312" w:cs="Arial"/>
          <w:sz w:val="32"/>
          <w:szCs w:val="32"/>
          <w:lang w:val="en-US" w:eastAsia="zh-CN"/>
        </w:rPr>
        <w:t>(包括但不限于相关协议)及</w:t>
      </w:r>
      <w:r>
        <w:rPr>
          <w:rFonts w:hint="eastAsia" w:ascii="仿宋_GB2312" w:hAnsi="仿宋" w:eastAsia="仿宋_GB2312" w:cs="Arial"/>
          <w:sz w:val="32"/>
          <w:szCs w:val="32"/>
        </w:rPr>
        <w:t>响应产品</w:t>
      </w:r>
      <w:r>
        <w:rPr>
          <w:rFonts w:hint="eastAsia" w:ascii="仿宋_GB2312" w:hAnsi="仿宋" w:eastAsia="仿宋_GB2312" w:cs="Arial"/>
          <w:sz w:val="32"/>
          <w:szCs w:val="32"/>
          <w:lang w:val="en-US" w:eastAsia="zh-CN"/>
        </w:rPr>
        <w:t>全国唯一总经销商</w:t>
      </w:r>
      <w:r>
        <w:rPr>
          <w:rFonts w:hint="eastAsia" w:ascii="仿宋_GB2312" w:hAnsi="仿宋" w:eastAsia="仿宋_GB2312" w:cs="Arial"/>
          <w:sz w:val="32"/>
          <w:szCs w:val="32"/>
        </w:rPr>
        <w:t>针对本项目出具的唯一授权函扫描件。</w:t>
      </w:r>
    </w:p>
    <w:p w14:paraId="31651050">
      <w:pPr>
        <w:widowControl/>
        <w:numPr>
          <w:ilvl w:val="0"/>
          <w:numId w:val="0"/>
        </w:numPr>
        <w:snapToGrid w:val="0"/>
        <w:spacing w:line="500" w:lineRule="atLeas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四、商务要求</w:t>
      </w:r>
    </w:p>
    <w:p w14:paraId="2EAEC6E9">
      <w:pPr>
        <w:widowControl/>
        <w:numPr>
          <w:ilvl w:val="0"/>
          <w:numId w:val="2"/>
        </w:numPr>
        <w:snapToGrid w:val="0"/>
        <w:spacing w:line="500" w:lineRule="atLeast"/>
        <w:ind w:firstLine="640" w:firstLineChars="200"/>
        <w:jc w:val="both"/>
        <w:rPr>
          <w:rFonts w:hint="eastAsia" w:ascii="仿宋_GB2312" w:hAnsi="仿宋" w:eastAsia="仿宋_GB2312" w:cs="Arial"/>
          <w:sz w:val="32"/>
          <w:szCs w:val="32"/>
        </w:rPr>
      </w:pPr>
      <w:r>
        <w:rPr>
          <w:rFonts w:hint="eastAsia" w:ascii="仿宋_GB2312" w:hAnsi="仿宋" w:eastAsia="仿宋_GB2312" w:cs="Arial"/>
          <w:sz w:val="32"/>
          <w:szCs w:val="32"/>
          <w:lang w:val="en-US" w:eastAsia="zh-CN"/>
        </w:rPr>
        <w:t>交付时间：轿车、越野/SUV、商务车/MPV：</w:t>
      </w:r>
      <w:r>
        <w:rPr>
          <w:rFonts w:hint="eastAsia" w:ascii="仿宋_GB2312" w:hAnsi="仿宋" w:eastAsia="仿宋_GB2312" w:cs="Arial"/>
          <w:sz w:val="32"/>
          <w:szCs w:val="32"/>
        </w:rPr>
        <w:t>合同签订之日起</w:t>
      </w:r>
      <w:r>
        <w:rPr>
          <w:rFonts w:hint="eastAsia" w:ascii="仿宋_GB2312" w:hAnsi="仿宋" w:eastAsia="仿宋_GB2312" w:cs="Arial"/>
          <w:sz w:val="32"/>
          <w:szCs w:val="32"/>
          <w:lang w:val="en-US" w:eastAsia="zh-CN"/>
        </w:rPr>
        <w:t>20</w:t>
      </w:r>
      <w:r>
        <w:rPr>
          <w:rFonts w:hint="eastAsia" w:ascii="仿宋_GB2312" w:hAnsi="仿宋" w:eastAsia="仿宋_GB2312" w:cs="Arial"/>
          <w:sz w:val="32"/>
          <w:szCs w:val="32"/>
        </w:rPr>
        <w:t>个工作日内完成车辆交付。</w:t>
      </w:r>
    </w:p>
    <w:p w14:paraId="09E9B4C6">
      <w:pPr>
        <w:keepNext w:val="0"/>
        <w:keepLines w:val="0"/>
        <w:widowControl/>
        <w:suppressLineNumbers w:val="0"/>
        <w:ind w:firstLine="640" w:firstLineChars="200"/>
        <w:jc w:val="both"/>
        <w:rPr>
          <w:rFonts w:hint="eastAsia" w:ascii="仿宋_GB2312" w:hAnsi="仿宋" w:eastAsia="仿宋_GB2312" w:cs="Arial"/>
          <w:sz w:val="32"/>
          <w:szCs w:val="32"/>
          <w:lang w:val="en-US" w:eastAsia="zh-CN"/>
        </w:rPr>
      </w:pPr>
      <w:r>
        <w:rPr>
          <w:rFonts w:hint="eastAsia" w:ascii="仿宋_GB2312" w:hAnsi="仿宋" w:eastAsia="仿宋_GB2312" w:cs="Arial"/>
          <w:sz w:val="32"/>
          <w:szCs w:val="32"/>
          <w:lang w:val="en-US" w:eastAsia="zh-CN"/>
        </w:rPr>
        <w:t>2、地点：山西省域范围内采购人指定地点。</w:t>
      </w:r>
    </w:p>
    <w:p w14:paraId="16E6906B">
      <w:pPr>
        <w:widowControl/>
        <w:snapToGrid w:val="0"/>
        <w:spacing w:line="500" w:lineRule="atLeast"/>
        <w:ind w:firstLine="640" w:firstLineChars="200"/>
        <w:jc w:val="both"/>
        <w:rPr>
          <w:rFonts w:hint="eastAsia" w:ascii="仿宋_GB2312" w:hAnsi="仿宋" w:eastAsia="仿宋_GB2312" w:cs="Arial"/>
          <w:sz w:val="32"/>
          <w:szCs w:val="32"/>
          <w:lang w:eastAsia="zh-CN"/>
        </w:rPr>
      </w:pPr>
      <w:r>
        <w:rPr>
          <w:rFonts w:hint="eastAsia" w:ascii="仿宋_GB2312" w:hAnsi="仿宋" w:eastAsia="仿宋_GB2312" w:cs="Arial"/>
          <w:sz w:val="32"/>
          <w:szCs w:val="32"/>
          <w:lang w:val="en-US" w:eastAsia="zh-CN"/>
        </w:rPr>
        <w:t>3、付款要求：验收合格后3个工作日内一次性付清</w:t>
      </w:r>
      <w:r>
        <w:rPr>
          <w:rFonts w:hint="eastAsia" w:ascii="仿宋_GB2312" w:hAnsi="仿宋" w:eastAsia="仿宋_GB2312" w:cs="Arial"/>
          <w:sz w:val="32"/>
          <w:szCs w:val="32"/>
          <w:lang w:eastAsia="zh-CN"/>
        </w:rPr>
        <w:t>。</w:t>
      </w:r>
    </w:p>
    <w:p w14:paraId="0E6B7B27">
      <w:pPr>
        <w:widowControl/>
        <w:numPr>
          <w:ilvl w:val="0"/>
          <w:numId w:val="0"/>
        </w:numPr>
        <w:snapToGrid w:val="0"/>
        <w:spacing w:line="500" w:lineRule="atLeast"/>
        <w:ind w:firstLine="640" w:firstLineChars="200"/>
        <w:jc w:val="both"/>
        <w:rPr>
          <w:rFonts w:hint="eastAsia" w:ascii="仿宋_GB2312" w:hAnsi="仿宋" w:eastAsia="仿宋_GB2312" w:cs="Arial"/>
          <w:sz w:val="32"/>
          <w:szCs w:val="32"/>
          <w:lang w:val="en-US" w:eastAsia="zh-CN"/>
        </w:rPr>
      </w:pPr>
      <w:r>
        <w:rPr>
          <w:rFonts w:hint="eastAsia" w:ascii="仿宋_GB2312" w:hAnsi="仿宋" w:eastAsia="仿宋_GB2312" w:cs="Arial"/>
          <w:sz w:val="32"/>
          <w:szCs w:val="32"/>
          <w:lang w:val="en-US" w:eastAsia="zh-CN"/>
        </w:rPr>
        <w:t>4、供应商须承诺提供不少于一次的免费常规保养服务及每年不少于一次的免费道路救援服务。</w:t>
      </w:r>
    </w:p>
    <w:p w14:paraId="5A469E1B">
      <w:pPr>
        <w:widowControl/>
        <w:numPr>
          <w:ilvl w:val="0"/>
          <w:numId w:val="0"/>
        </w:numPr>
        <w:snapToGrid w:val="0"/>
        <w:spacing w:line="500" w:lineRule="atLeast"/>
        <w:ind w:firstLine="640" w:firstLineChars="200"/>
        <w:jc w:val="both"/>
        <w:rPr>
          <w:rFonts w:hint="default" w:ascii="仿宋_GB2312" w:hAnsi="仿宋" w:eastAsia="仿宋_GB2312" w:cs="Arial"/>
          <w:sz w:val="32"/>
          <w:szCs w:val="32"/>
          <w:lang w:val="en-US" w:eastAsia="zh-CN"/>
        </w:rPr>
      </w:pPr>
      <w:r>
        <w:rPr>
          <w:rFonts w:hint="eastAsia" w:ascii="仿宋_GB2312" w:hAnsi="仿宋" w:eastAsia="仿宋_GB2312" w:cs="Arial"/>
          <w:sz w:val="32"/>
          <w:szCs w:val="32"/>
          <w:lang w:val="en-US" w:eastAsia="zh-CN"/>
        </w:rPr>
        <w:t>5、</w:t>
      </w:r>
      <w:r>
        <w:rPr>
          <w:rFonts w:hint="default" w:ascii="仿宋_GB2312" w:hAnsi="仿宋" w:eastAsia="仿宋_GB2312" w:cs="Arial"/>
          <w:sz w:val="32"/>
          <w:szCs w:val="32"/>
          <w:lang w:val="en-US" w:eastAsia="zh-CN"/>
        </w:rPr>
        <w:t>售后服务</w:t>
      </w:r>
      <w:r>
        <w:rPr>
          <w:rFonts w:hint="eastAsia" w:ascii="仿宋_GB2312" w:hAnsi="仿宋" w:eastAsia="仿宋_GB2312" w:cs="Arial"/>
          <w:sz w:val="32"/>
          <w:szCs w:val="32"/>
          <w:lang w:val="en-US" w:eastAsia="zh-CN"/>
        </w:rPr>
        <w:t>：</w:t>
      </w:r>
      <w:r>
        <w:rPr>
          <w:rFonts w:hint="default" w:ascii="仿宋_GB2312" w:hAnsi="仿宋" w:eastAsia="仿宋_GB2312" w:cs="Arial"/>
          <w:sz w:val="32"/>
          <w:szCs w:val="32"/>
          <w:lang w:val="en-US" w:eastAsia="zh-CN"/>
        </w:rPr>
        <w:t>供应商具有良好的售后服务，服务响应时间应不超过2小时。提供供应商地址、全省区域联系人及联系方式，同时承诺在接到采购人通知后24小时内提供</w:t>
      </w:r>
      <w:r>
        <w:rPr>
          <w:rFonts w:hint="eastAsia" w:ascii="仿宋_GB2312" w:hAnsi="仿宋" w:eastAsia="仿宋_GB2312" w:cs="Arial"/>
          <w:sz w:val="32"/>
          <w:szCs w:val="32"/>
          <w:lang w:val="en-US" w:eastAsia="zh-CN"/>
        </w:rPr>
        <w:t>初</w:t>
      </w:r>
      <w:r>
        <w:rPr>
          <w:rFonts w:hint="default" w:ascii="仿宋_GB2312" w:hAnsi="仿宋" w:eastAsia="仿宋_GB2312" w:cs="Arial"/>
          <w:sz w:val="32"/>
          <w:szCs w:val="32"/>
          <w:lang w:val="en-US" w:eastAsia="zh-CN"/>
        </w:rPr>
        <w:t>步解决方案。</w:t>
      </w:r>
    </w:p>
    <w:p w14:paraId="0776D1B9">
      <w:pPr>
        <w:widowControl/>
        <w:numPr>
          <w:ilvl w:val="0"/>
          <w:numId w:val="0"/>
        </w:numPr>
        <w:snapToGrid w:val="0"/>
        <w:spacing w:line="500" w:lineRule="atLeast"/>
        <w:ind w:firstLine="640" w:firstLineChars="200"/>
        <w:jc w:val="both"/>
        <w:rPr>
          <w:rFonts w:hint="eastAsia" w:ascii="仿宋_GB2312" w:hAnsi="仿宋" w:eastAsia="仿宋_GB2312" w:cs="Arial"/>
          <w:kern w:val="2"/>
          <w:sz w:val="32"/>
          <w:szCs w:val="32"/>
          <w:lang w:val="en-US" w:eastAsia="zh-CN" w:bidi="ar-SA"/>
        </w:rPr>
      </w:pPr>
      <w:r>
        <w:rPr>
          <w:rFonts w:hint="eastAsia" w:ascii="仿宋_GB2312" w:hAnsi="仿宋" w:eastAsia="仿宋_GB2312" w:cs="Arial"/>
          <w:kern w:val="2"/>
          <w:sz w:val="32"/>
          <w:szCs w:val="32"/>
          <w:lang w:val="en-US" w:eastAsia="zh-CN" w:bidi="ar-SA"/>
        </w:rPr>
        <w:t>6、产品升级换代规则：在产品质量不降低、价格不提高的前提下，入围供应商可以对产品升级换代、用新产品替代原入围产品（提交时需上传新产品质量不低于原入围产品质量承诺函）。经征集人审核通过后，新产品替代原产品并生效，原入围产品将不再服务于本次征集的框架协议。已下架停产的产品，入围供应商和被授权供应商在5个工作日内同步下架。已成交的原入围产品，供应商需按合同继续履约。</w:t>
      </w:r>
    </w:p>
    <w:p w14:paraId="4D685C8E">
      <w:pPr>
        <w:widowControl/>
        <w:numPr>
          <w:ilvl w:val="0"/>
          <w:numId w:val="0"/>
        </w:numPr>
        <w:snapToGrid w:val="0"/>
        <w:spacing w:line="500" w:lineRule="atLeast"/>
        <w:ind w:firstLine="640" w:firstLineChars="200"/>
        <w:jc w:val="both"/>
        <w:rPr>
          <w:rFonts w:hint="eastAsia" w:ascii="仿宋_GB2312" w:hAnsi="仿宋" w:eastAsia="仿宋_GB2312" w:cs="Arial"/>
          <w:kern w:val="2"/>
          <w:sz w:val="32"/>
          <w:szCs w:val="32"/>
          <w:lang w:val="en-US" w:eastAsia="zh-CN" w:bidi="ar-SA"/>
        </w:rPr>
      </w:pPr>
      <w:r>
        <w:rPr>
          <w:rFonts w:hint="eastAsia" w:ascii="仿宋_GB2312" w:hAnsi="仿宋" w:eastAsia="仿宋_GB2312" w:cs="Arial"/>
          <w:kern w:val="2"/>
          <w:sz w:val="32"/>
          <w:szCs w:val="32"/>
          <w:lang w:val="en-US" w:eastAsia="zh-CN" w:bidi="ar-SA"/>
        </w:rPr>
        <w:t>7、整车质保不少于3年或行驶60000公里（以先到者为准）。三电（电池、电机、电控）质保不少于8年或行驶120000公里（以先到者为准）。其他未尽事宜参照2021年7月22日国家市场监督管理总局令第43号《家用汽车产品修理更换退货责任规定》执行。</w:t>
      </w:r>
    </w:p>
    <w:p w14:paraId="64029D23">
      <w:pPr>
        <w:widowControl/>
        <w:numPr>
          <w:ilvl w:val="0"/>
          <w:numId w:val="0"/>
        </w:numPr>
        <w:snapToGrid w:val="0"/>
        <w:spacing w:line="500" w:lineRule="atLeast"/>
        <w:ind w:firstLine="640" w:firstLineChars="200"/>
        <w:jc w:val="both"/>
        <w:rPr>
          <w:rFonts w:hint="default" w:ascii="仿宋_GB2312" w:hAnsi="仿宋" w:eastAsia="仿宋_GB2312" w:cs="Arial"/>
          <w:kern w:val="2"/>
          <w:sz w:val="32"/>
          <w:szCs w:val="32"/>
          <w:lang w:val="en-US" w:eastAsia="zh-CN" w:bidi="ar-SA"/>
        </w:rPr>
      </w:pPr>
      <w:r>
        <w:rPr>
          <w:rFonts w:hint="eastAsia" w:ascii="仿宋_GB2312" w:hAnsi="仿宋" w:eastAsia="仿宋_GB2312" w:cs="Arial"/>
          <w:kern w:val="2"/>
          <w:sz w:val="32"/>
          <w:szCs w:val="32"/>
          <w:lang w:val="en-US" w:eastAsia="zh-CN" w:bidi="ar-SA"/>
        </w:rPr>
        <w:t>8、市场在售产品：提供承诺函，要求明确承诺产品已在市场销售且非专供政府采购产品。</w:t>
      </w:r>
    </w:p>
    <w:p w14:paraId="4DA5742B">
      <w:pPr>
        <w:widowControl/>
        <w:snapToGrid w:val="0"/>
        <w:spacing w:line="500" w:lineRule="atLeast"/>
        <w:ind w:firstLine="640" w:firstLineChars="200"/>
        <w:jc w:val="both"/>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其他补充事宜</w:t>
      </w:r>
    </w:p>
    <w:bookmarkEnd w:id="0"/>
    <w:p w14:paraId="73AA7472">
      <w:pPr>
        <w:widowControl/>
        <w:snapToGrid w:val="0"/>
        <w:spacing w:line="500" w:lineRule="atLeast"/>
        <w:ind w:firstLine="640" w:firstLineChars="200"/>
        <w:jc w:val="both"/>
        <w:rPr>
          <w:rFonts w:hint="eastAsia" w:ascii="仿宋_GB2312" w:hAnsi="仿宋" w:eastAsia="仿宋_GB2312" w:cs="Arial"/>
          <w:sz w:val="32"/>
          <w:szCs w:val="32"/>
          <w:lang w:val="en-US" w:eastAsia="zh-CN"/>
        </w:rPr>
      </w:pPr>
      <w:r>
        <w:rPr>
          <w:rFonts w:hint="eastAsia" w:ascii="仿宋_GB2312" w:hAnsi="仿宋" w:eastAsia="仿宋_GB2312" w:cs="Arial"/>
          <w:sz w:val="32"/>
          <w:szCs w:val="32"/>
          <w:lang w:val="en-US" w:eastAsia="zh-CN"/>
        </w:rPr>
        <w:t>1、本次</w:t>
      </w:r>
      <w:r>
        <w:rPr>
          <w:rFonts w:hint="eastAsia" w:ascii="仿宋" w:hAnsi="仿宋" w:eastAsia="仿宋" w:cs="仿宋"/>
          <w:bCs/>
          <w:sz w:val="32"/>
          <w:szCs w:val="32"/>
          <w:lang w:val="en-US" w:eastAsia="zh-CN" w:bidi="ar"/>
        </w:rPr>
        <w:t>征集仅面向</w:t>
      </w:r>
      <w:r>
        <w:rPr>
          <w:rFonts w:hint="eastAsia" w:ascii="仿宋_GB2312" w:hAnsi="仿宋" w:eastAsia="仿宋_GB2312" w:cs="Arial"/>
          <w:sz w:val="32"/>
          <w:szCs w:val="32"/>
          <w:lang w:val="en-US" w:eastAsia="zh-CN"/>
        </w:rPr>
        <w:t>纯电动汽车、插电式混动汽车。不</w:t>
      </w:r>
      <w:r>
        <w:rPr>
          <w:rFonts w:hint="eastAsia" w:ascii="仿宋" w:hAnsi="仿宋" w:eastAsia="仿宋" w:cs="仿宋"/>
          <w:bCs/>
          <w:sz w:val="32"/>
          <w:szCs w:val="32"/>
          <w:lang w:val="en-US" w:eastAsia="zh-CN" w:bidi="ar"/>
        </w:rPr>
        <w:t>征集</w:t>
      </w:r>
      <w:r>
        <w:rPr>
          <w:rFonts w:hint="eastAsia" w:ascii="仿宋_GB2312" w:hAnsi="仿宋" w:eastAsia="仿宋_GB2312" w:cs="Arial"/>
          <w:sz w:val="32"/>
          <w:szCs w:val="32"/>
          <w:lang w:val="en-US" w:eastAsia="zh-CN"/>
        </w:rPr>
        <w:t>无外接电源的节能汽车。插电式混动汽车包括：串联式插电式混动汽车（别名：增程式新能源汽车）、并联式插电式混动汽车、混联式插电式混动汽车。</w:t>
      </w:r>
    </w:p>
    <w:p w14:paraId="2A622C65">
      <w:pPr>
        <w:widowControl/>
        <w:snapToGrid w:val="0"/>
        <w:spacing w:line="500" w:lineRule="atLeast"/>
        <w:ind w:firstLine="640" w:firstLineChars="200"/>
        <w:jc w:val="both"/>
        <w:rPr>
          <w:rFonts w:hint="eastAsia" w:ascii="仿宋_GB2312" w:hAnsi="仿宋" w:eastAsia="仿宋_GB2312" w:cs="Arial"/>
          <w:sz w:val="32"/>
          <w:szCs w:val="32"/>
          <w:lang w:val="en-US" w:eastAsia="zh-CN"/>
        </w:rPr>
      </w:pPr>
      <w:r>
        <w:rPr>
          <w:rFonts w:hint="eastAsia" w:ascii="仿宋_GB2312" w:hAnsi="仿宋" w:eastAsia="仿宋_GB2312" w:cs="Arial"/>
          <w:sz w:val="32"/>
          <w:szCs w:val="32"/>
          <w:lang w:val="en-US" w:eastAsia="zh-CN"/>
        </w:rPr>
        <w:t>2、响应产品须在保证电池安全的前提下，具备并不断改进快充技术，以提高新能源汽车的使用体验（需具备直流快充接口）。</w:t>
      </w:r>
      <w:bookmarkStart w:id="2" w:name="_GoBack"/>
      <w:bookmarkEnd w:id="2"/>
    </w:p>
    <w:p w14:paraId="3C8A615D">
      <w:pPr>
        <w:widowControl/>
        <w:snapToGrid w:val="0"/>
        <w:spacing w:line="500" w:lineRule="atLeast"/>
        <w:ind w:firstLine="640" w:firstLineChars="200"/>
        <w:jc w:val="both"/>
        <w:rPr>
          <w:rFonts w:hint="eastAsia" w:ascii="仿宋_GB2312" w:hAnsi="仿宋" w:eastAsia="仿宋_GB2312" w:cs="Arial"/>
          <w:sz w:val="32"/>
          <w:szCs w:val="32"/>
          <w:lang w:val="en-US" w:eastAsia="zh-CN"/>
        </w:rPr>
      </w:pPr>
      <w:r>
        <w:rPr>
          <w:rFonts w:hint="eastAsia" w:ascii="仿宋_GB2312" w:hAnsi="仿宋" w:eastAsia="仿宋_GB2312" w:cs="Arial"/>
          <w:sz w:val="32"/>
          <w:szCs w:val="32"/>
          <w:lang w:val="en-US" w:eastAsia="zh-CN"/>
        </w:rPr>
        <w:t>3、若是换电池车型，车型报价需包括常规配置的电池价格。</w:t>
      </w:r>
    </w:p>
    <w:p w14:paraId="653A4778">
      <w:pPr>
        <w:widowControl/>
        <w:snapToGrid w:val="0"/>
        <w:spacing w:line="500" w:lineRule="atLeast"/>
        <w:ind w:firstLine="640" w:firstLineChars="200"/>
        <w:jc w:val="both"/>
        <w:rPr>
          <w:rFonts w:ascii="仿宋_GB2312" w:hAnsi="仿宋" w:eastAsia="仿宋_GB2312" w:cs="Arial"/>
          <w:sz w:val="32"/>
          <w:szCs w:val="32"/>
        </w:rPr>
      </w:pPr>
      <w:r>
        <w:rPr>
          <w:rFonts w:hint="eastAsia" w:ascii="仿宋_GB2312" w:hAnsi="仿宋" w:eastAsia="仿宋_GB2312" w:cs="Arial"/>
          <w:sz w:val="32"/>
          <w:szCs w:val="32"/>
          <w:lang w:val="en-US" w:eastAsia="zh-CN"/>
        </w:rPr>
        <w:t>4、同一品牌在每个采购包只能用一个产品进行响应，且应当是市场上已有销售的规格型号，不得是专供政府采购的产品，生产厂家和授权供应商不得同时参与同一采购包，如有违反将作为无效投标处理。</w:t>
      </w:r>
    </w:p>
    <w:p w14:paraId="0DD141BA">
      <w:pPr>
        <w:widowControl/>
        <w:snapToGrid w:val="0"/>
        <w:spacing w:line="500" w:lineRule="atLeast"/>
        <w:ind w:firstLine="640" w:firstLineChars="200"/>
        <w:jc w:val="both"/>
        <w:rPr>
          <w:rFonts w:hint="eastAsia" w:ascii="仿宋_GB2312" w:hAnsi="仿宋" w:eastAsia="仿宋_GB2312" w:cs="Arial"/>
          <w:sz w:val="32"/>
          <w:szCs w:val="32"/>
          <w:lang w:val="en-US" w:eastAsia="zh-CN"/>
        </w:rPr>
      </w:pPr>
      <w:r>
        <w:rPr>
          <w:rFonts w:hint="eastAsia" w:ascii="仿宋_GB2312" w:hAnsi="仿宋" w:eastAsia="仿宋_GB2312" w:cs="Arial"/>
          <w:sz w:val="32"/>
          <w:szCs w:val="32"/>
          <w:lang w:val="en-US" w:eastAsia="zh-CN"/>
        </w:rPr>
        <w:t>5、</w:t>
      </w:r>
      <w:r>
        <w:rPr>
          <w:rFonts w:ascii="仿宋_GB2312" w:hAnsi="仿宋" w:eastAsia="仿宋_GB2312" w:cs="Arial"/>
          <w:sz w:val="32"/>
          <w:szCs w:val="32"/>
        </w:rPr>
        <w:t>同一配置的车型如响应两个及以上的采购包，</w:t>
      </w:r>
      <w:r>
        <w:rPr>
          <w:rFonts w:hint="eastAsia" w:ascii="仿宋_GB2312" w:hAnsi="仿宋" w:eastAsia="仿宋_GB2312" w:cs="Arial"/>
          <w:sz w:val="32"/>
          <w:szCs w:val="32"/>
          <w:lang w:val="en-US" w:eastAsia="zh-CN"/>
        </w:rPr>
        <w:t>报价须一致，否则作无效响应处理。</w:t>
      </w:r>
    </w:p>
    <w:p w14:paraId="020624ED">
      <w:pPr>
        <w:widowControl/>
        <w:snapToGrid w:val="0"/>
        <w:spacing w:line="500" w:lineRule="atLeast"/>
        <w:ind w:firstLine="640" w:firstLineChars="200"/>
        <w:jc w:val="both"/>
        <w:rPr>
          <w:rFonts w:ascii="仿宋_GB2312" w:hAnsi="仿宋" w:eastAsia="仿宋_GB2312" w:cs="Arial"/>
          <w:sz w:val="32"/>
          <w:szCs w:val="32"/>
        </w:rPr>
      </w:pPr>
      <w:r>
        <w:rPr>
          <w:rFonts w:hint="eastAsia" w:ascii="仿宋_GB2312" w:hAnsi="仿宋" w:eastAsia="仿宋_GB2312" w:cs="Arial"/>
          <w:sz w:val="32"/>
          <w:szCs w:val="32"/>
          <w:lang w:val="en-US" w:eastAsia="zh-CN"/>
        </w:rPr>
        <w:t>6、</w:t>
      </w:r>
      <w:r>
        <w:rPr>
          <w:rFonts w:hint="eastAsia" w:ascii="仿宋_GB2312" w:hAnsi="仿宋" w:eastAsia="仿宋_GB2312" w:cs="Arial"/>
          <w:sz w:val="32"/>
          <w:szCs w:val="32"/>
        </w:rPr>
        <w:t>所报车型的最终报价不得高于市场指导价（官网指导价格）</w:t>
      </w:r>
      <w:r>
        <w:rPr>
          <w:rFonts w:hint="eastAsia" w:ascii="仿宋_GB2312" w:hAnsi="仿宋" w:eastAsia="仿宋_GB2312" w:cs="Arial"/>
          <w:sz w:val="32"/>
          <w:szCs w:val="32"/>
          <w:lang w:val="en-US" w:eastAsia="zh-CN"/>
        </w:rPr>
        <w:t>。</w:t>
      </w:r>
    </w:p>
    <w:p w14:paraId="44A7F5F2">
      <w:pPr>
        <w:keepNext w:val="0"/>
        <w:keepLines w:val="0"/>
        <w:pageBreakBefore w:val="0"/>
        <w:widowControl/>
        <w:kinsoku/>
        <w:wordWrap/>
        <w:overflowPunct/>
        <w:topLinePunct w:val="0"/>
        <w:autoSpaceDE/>
        <w:autoSpaceDN/>
        <w:bidi w:val="0"/>
        <w:adjustRightInd/>
        <w:snapToGrid w:val="0"/>
        <w:spacing w:line="500" w:lineRule="exact"/>
        <w:ind w:firstLine="640" w:firstLineChars="200"/>
        <w:jc w:val="both"/>
        <w:textAlignment w:val="auto"/>
        <w:rPr>
          <w:rFonts w:hint="eastAsia" w:ascii="方正小标宋_GBK" w:hAnsi="方正小标宋_GBK" w:eastAsia="方正小标宋_GBK" w:cs="方正小标宋_GBK"/>
          <w:sz w:val="44"/>
          <w:szCs w:val="44"/>
        </w:rPr>
      </w:pPr>
      <w:r>
        <w:rPr>
          <w:rFonts w:hint="eastAsia" w:ascii="仿宋_GB2312" w:hAnsi="仿宋" w:eastAsia="仿宋_GB2312" w:cs="Arial"/>
          <w:sz w:val="32"/>
          <w:szCs w:val="32"/>
          <w:lang w:val="en-US" w:eastAsia="zh-CN"/>
        </w:rPr>
        <w:t>7、同一品牌认定以工信部公告《道路机动车辆生产企业及产品》中商标为准。商标相同但生产企业不同，若生产企业间无控股、管理关系，且产品销售、售后体系相互独立的，可视为不同品牌。</w:t>
      </w:r>
    </w:p>
    <w:p w14:paraId="446B1CEC">
      <w:pPr>
        <w:pStyle w:val="2"/>
        <w:keepNext w:val="0"/>
        <w:keepLines w:val="0"/>
        <w:pageBreakBefore w:val="0"/>
        <w:kinsoku/>
        <w:wordWrap/>
        <w:overflowPunct/>
        <w:topLinePunct w:val="0"/>
        <w:autoSpaceDE/>
        <w:autoSpaceDN/>
        <w:bidi w:val="0"/>
        <w:adjustRightInd/>
        <w:spacing w:line="500" w:lineRule="exact"/>
        <w:ind w:left="0" w:leftChars="0" w:firstLine="640" w:firstLineChars="200"/>
        <w:jc w:val="both"/>
        <w:textAlignment w:val="auto"/>
        <w:rPr>
          <w:rFonts w:hint="eastAsia" w:ascii="仿宋_GB2312" w:hAnsi="仿宋" w:eastAsia="仿宋_GB2312" w:cs="Arial"/>
          <w:kern w:val="2"/>
          <w:sz w:val="32"/>
          <w:szCs w:val="32"/>
          <w:lang w:val="en-US" w:eastAsia="zh-CN" w:bidi="ar-SA"/>
        </w:rPr>
      </w:pPr>
      <w:r>
        <w:rPr>
          <w:rFonts w:hint="eastAsia" w:ascii="仿宋_GB2312" w:hAnsi="仿宋" w:eastAsia="仿宋_GB2312" w:cs="Arial"/>
          <w:kern w:val="2"/>
          <w:sz w:val="32"/>
          <w:szCs w:val="32"/>
          <w:lang w:val="en-US" w:eastAsia="zh-CN" w:bidi="ar-SA"/>
        </w:rPr>
        <w:t xml:space="preserve">8、本项目所采购的轿车和商务车属于环境标志产品政府采购品目清单中应优先采购的产品范围。若供应商所提供的产品属于环境标志产品，可以提供国家确定的认证机构出具的、处于有效期之内的环境标志产品认证证书，给予5%的价格折扣。  </w:t>
      </w:r>
    </w:p>
    <w:p w14:paraId="4DE15056">
      <w:pPr>
        <w:pStyle w:val="2"/>
        <w:keepNext w:val="0"/>
        <w:keepLines w:val="0"/>
        <w:pageBreakBefore w:val="0"/>
        <w:kinsoku/>
        <w:wordWrap/>
        <w:overflowPunct/>
        <w:topLinePunct w:val="0"/>
        <w:autoSpaceDE/>
        <w:autoSpaceDN/>
        <w:bidi w:val="0"/>
        <w:adjustRightInd/>
        <w:spacing w:line="500" w:lineRule="exact"/>
        <w:ind w:left="0" w:leftChars="0" w:firstLine="640" w:firstLineChars="200"/>
        <w:jc w:val="both"/>
        <w:textAlignment w:val="auto"/>
        <w:rPr>
          <w:rFonts w:hint="eastAsia" w:ascii="仿宋_GB2312" w:hAnsi="仿宋" w:eastAsia="仿宋_GB2312" w:cs="Arial"/>
          <w:kern w:val="2"/>
          <w:sz w:val="32"/>
          <w:szCs w:val="32"/>
          <w:lang w:val="en-US" w:eastAsia="zh-CN" w:bidi="ar-SA"/>
        </w:rPr>
      </w:pPr>
      <w:r>
        <w:rPr>
          <w:rFonts w:hint="eastAsia" w:ascii="仿宋_GB2312" w:hAnsi="仿宋" w:eastAsia="仿宋_GB2312" w:cs="Arial"/>
          <w:kern w:val="2"/>
          <w:sz w:val="32"/>
          <w:szCs w:val="32"/>
          <w:lang w:val="en-US" w:eastAsia="zh-CN" w:bidi="ar-SA"/>
        </w:rPr>
        <w:t>9、在框架协议有效期内，若国家政策发生变化，已入围产品需按新政策执行。</w:t>
      </w:r>
    </w:p>
    <w:p w14:paraId="20E3E747">
      <w:pPr>
        <w:widowControl/>
        <w:snapToGrid w:val="0"/>
        <w:spacing w:line="500" w:lineRule="atLeas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技术参数</w:t>
      </w:r>
    </w:p>
    <w:p w14:paraId="724544B8">
      <w:pPr>
        <w:pStyle w:val="2"/>
        <w:keepNext w:val="0"/>
        <w:keepLines w:val="0"/>
        <w:pageBreakBefore w:val="0"/>
        <w:kinsoku/>
        <w:wordWrap/>
        <w:overflowPunct/>
        <w:topLinePunct w:val="0"/>
        <w:autoSpaceDE/>
        <w:autoSpaceDN/>
        <w:bidi w:val="0"/>
        <w:adjustRightInd/>
        <w:spacing w:line="500" w:lineRule="exact"/>
        <w:ind w:left="0" w:leftChars="0" w:firstLine="640" w:firstLineChars="200"/>
        <w:jc w:val="both"/>
        <w:textAlignment w:val="auto"/>
        <w:rPr>
          <w:rFonts w:hint="eastAsia" w:ascii="仿宋_GB2312" w:hAnsi="仿宋" w:eastAsia="仿宋_GB2312" w:cs="Arial"/>
          <w:kern w:val="2"/>
          <w:sz w:val="32"/>
          <w:szCs w:val="32"/>
          <w:lang w:val="en-US" w:eastAsia="zh-CN" w:bidi="ar-SA"/>
        </w:rPr>
      </w:pPr>
      <w:r>
        <w:rPr>
          <w:rFonts w:hint="eastAsia" w:ascii="仿宋_GB2312" w:hAnsi="仿宋" w:eastAsia="仿宋_GB2312" w:cs="Arial"/>
          <w:kern w:val="2"/>
          <w:sz w:val="32"/>
          <w:szCs w:val="32"/>
          <w:lang w:val="en-US" w:eastAsia="zh-CN" w:bidi="ar-SA"/>
        </w:rPr>
        <w:t>详见附件1。</w:t>
      </w:r>
    </w:p>
    <w:p w14:paraId="2E39E17B">
      <w:pPr>
        <w:pStyle w:val="2"/>
        <w:keepNext w:val="0"/>
        <w:keepLines w:val="0"/>
        <w:pageBreakBefore w:val="0"/>
        <w:kinsoku/>
        <w:wordWrap/>
        <w:overflowPunct/>
        <w:topLinePunct w:val="0"/>
        <w:autoSpaceDE/>
        <w:autoSpaceDN/>
        <w:bidi w:val="0"/>
        <w:adjustRightInd/>
        <w:spacing w:line="500" w:lineRule="exact"/>
        <w:ind w:left="0" w:leftChars="0" w:firstLine="640" w:firstLineChars="200"/>
        <w:textAlignment w:val="auto"/>
        <w:rPr>
          <w:rFonts w:hint="eastAsia" w:ascii="仿宋_GB2312" w:hAnsi="仿宋" w:eastAsia="仿宋_GB2312" w:cs="Arial"/>
          <w:kern w:val="2"/>
          <w:sz w:val="32"/>
          <w:szCs w:val="32"/>
          <w:lang w:val="en-US" w:eastAsia="zh-CN" w:bidi="ar-SA"/>
        </w:rPr>
      </w:pPr>
      <w:r>
        <w:rPr>
          <w:rFonts w:hint="eastAsia" w:ascii="仿宋_GB2312" w:hAnsi="仿宋" w:eastAsia="仿宋_GB2312" w:cs="Arial"/>
          <w:kern w:val="2"/>
          <w:sz w:val="32"/>
          <w:szCs w:val="32"/>
          <w:lang w:val="en-US" w:eastAsia="zh-CN" w:bidi="ar-S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E324CF"/>
    <w:multiLevelType w:val="singleLevel"/>
    <w:tmpl w:val="32E324CF"/>
    <w:lvl w:ilvl="0" w:tentative="0">
      <w:start w:val="1"/>
      <w:numFmt w:val="decimal"/>
      <w:suff w:val="nothing"/>
      <w:lvlText w:val="%1、"/>
      <w:lvlJc w:val="left"/>
      <w:pPr>
        <w:ind w:left="-10"/>
      </w:pPr>
    </w:lvl>
  </w:abstractNum>
  <w:abstractNum w:abstractNumId="1">
    <w:nsid w:val="5FFCAB6F"/>
    <w:multiLevelType w:val="singleLevel"/>
    <w:tmpl w:val="5FFCAB6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kZTIxNjY3MzA0OTdhOGY1NGEwM2IyMjNhOTk4ODAifQ=="/>
  </w:docVars>
  <w:rsids>
    <w:rsidRoot w:val="00AA0287"/>
    <w:rsid w:val="000D0A7A"/>
    <w:rsid w:val="001D7B50"/>
    <w:rsid w:val="002E4098"/>
    <w:rsid w:val="007A5DE7"/>
    <w:rsid w:val="00AA0287"/>
    <w:rsid w:val="00C8218E"/>
    <w:rsid w:val="071C6E49"/>
    <w:rsid w:val="0A6A2374"/>
    <w:rsid w:val="0D0273AB"/>
    <w:rsid w:val="0DB37CA9"/>
    <w:rsid w:val="0FB95C05"/>
    <w:rsid w:val="15C66641"/>
    <w:rsid w:val="1B432CC0"/>
    <w:rsid w:val="207F4520"/>
    <w:rsid w:val="29CE695F"/>
    <w:rsid w:val="31FF3F5F"/>
    <w:rsid w:val="34033A51"/>
    <w:rsid w:val="386019AE"/>
    <w:rsid w:val="3BA1397A"/>
    <w:rsid w:val="3C2221E7"/>
    <w:rsid w:val="3CFF9F18"/>
    <w:rsid w:val="3EBFED72"/>
    <w:rsid w:val="3FBF1138"/>
    <w:rsid w:val="403B1F08"/>
    <w:rsid w:val="4E215692"/>
    <w:rsid w:val="4EE63268"/>
    <w:rsid w:val="55322D02"/>
    <w:rsid w:val="554802C6"/>
    <w:rsid w:val="587232F3"/>
    <w:rsid w:val="5F97EC49"/>
    <w:rsid w:val="5FDFC71B"/>
    <w:rsid w:val="61FA49F7"/>
    <w:rsid w:val="62457AE4"/>
    <w:rsid w:val="68575451"/>
    <w:rsid w:val="688551A2"/>
    <w:rsid w:val="697D1C8B"/>
    <w:rsid w:val="69844254"/>
    <w:rsid w:val="6CD575D3"/>
    <w:rsid w:val="6F1E9F65"/>
    <w:rsid w:val="6FE632CF"/>
    <w:rsid w:val="79ED4FF4"/>
    <w:rsid w:val="7C5D7E06"/>
    <w:rsid w:val="7CCD5561"/>
    <w:rsid w:val="9AEF53A2"/>
    <w:rsid w:val="B1FF7FA6"/>
    <w:rsid w:val="BFED6171"/>
    <w:rsid w:val="D6FABA88"/>
    <w:rsid w:val="DF7FB4E3"/>
    <w:rsid w:val="E9F99AAD"/>
    <w:rsid w:val="EDFE0D9A"/>
    <w:rsid w:val="F77EDEA5"/>
    <w:rsid w:val="FE962C13"/>
    <w:rsid w:val="FEFFC270"/>
    <w:rsid w:val="FFFDA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semiHidden/>
    <w:qFormat/>
    <w:uiPriority w:val="99"/>
    <w:rPr>
      <w:rFonts w:ascii="Times New Roman" w:hAnsi="Times New Roman" w:eastAsia="宋体" w:cs="Times New Roman"/>
      <w:sz w:val="18"/>
      <w:szCs w:val="18"/>
    </w:rPr>
  </w:style>
  <w:style w:type="character" w:customStyle="1" w:styleId="10">
    <w:name w:val="页脚 Char"/>
    <w:basedOn w:val="8"/>
    <w:link w:val="3"/>
    <w:semiHidden/>
    <w:qFormat/>
    <w:uiPriority w:val="99"/>
    <w:rPr>
      <w:rFonts w:ascii="Times New Roman" w:hAnsi="Times New Roman" w:eastAsia="宋体" w:cs="Times New Roman"/>
      <w:sz w:val="18"/>
      <w:szCs w:val="18"/>
    </w:rPr>
  </w:style>
  <w:style w:type="character" w:customStyle="1" w:styleId="11">
    <w:name w:val="font21"/>
    <w:basedOn w:val="8"/>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3017</Words>
  <Characters>3963</Characters>
  <Lines>1</Lines>
  <Paragraphs>1</Paragraphs>
  <TotalTime>4</TotalTime>
  <ScaleCrop>false</ScaleCrop>
  <LinksUpToDate>false</LinksUpToDate>
  <CharactersWithSpaces>4170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2022-01-20T18:44:00Z</dcterms:created>
  <dc:creator>zyxlenvo</dc:creator>
  <cp:lastModifiedBy>uos</cp:lastModifiedBy>
  <cp:lastPrinted>2025-05-09T17:06:00Z</cp:lastPrinted>
  <dcterms:modified xsi:type="dcterms:W3CDTF">2026-06-02T08:48:06Z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DF8AFD79EA394A8DADD2DB07EE8D1F55_13</vt:lpwstr>
  </property>
  <property fmtid="{D5CDD505-2E9C-101B-9397-08002B2CF9AE}" pid="4" name="KSOTemplateDocerSaveRecord">
    <vt:lpwstr>eyJoZGlkIjoiMWFkZTIxNjY3MzA0OTdhOGY1NGEwM2IyMjNhOTk4ODAiLCJ1c2VySWQiOiIxNjk0MjMyOTg1In0=</vt:lpwstr>
  </property>
</Properties>
</file>