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F1DF3">
      <w:pPr>
        <w:spacing w:line="600" w:lineRule="exact"/>
        <w:jc w:val="center"/>
        <w:rPr>
          <w:rFonts w:hint="eastAsia" w:ascii="方正小标宋_GBK" w:hAnsi="Calibri" w:eastAsia="方正小标宋_GBK" w:cs="Arial"/>
          <w:sz w:val="44"/>
          <w:szCs w:val="44"/>
        </w:rPr>
      </w:pPr>
      <w:r>
        <w:rPr>
          <w:rFonts w:hint="eastAsia" w:ascii="方正小标宋_GBK" w:hAnsi="Calibri" w:eastAsia="方正小标宋_GBK" w:cs="Arial"/>
          <w:sz w:val="44"/>
          <w:szCs w:val="44"/>
        </w:rPr>
        <w:t>202</w:t>
      </w:r>
      <w:r>
        <w:rPr>
          <w:rFonts w:hint="eastAsia" w:ascii="方正小标宋_GBK" w:eastAsia="方正小标宋_GBK" w:cs="Arial"/>
          <w:sz w:val="44"/>
          <w:szCs w:val="44"/>
          <w:lang w:val="en-US" w:eastAsia="zh-CN"/>
        </w:rPr>
        <w:t>5-2026</w:t>
      </w:r>
      <w:r>
        <w:rPr>
          <w:rFonts w:hint="eastAsia" w:ascii="方正小标宋_GBK" w:hAnsi="Calibri" w:eastAsia="方正小标宋_GBK" w:cs="Arial"/>
          <w:sz w:val="44"/>
          <w:szCs w:val="44"/>
        </w:rPr>
        <w:t>年度山西省</w:t>
      </w:r>
      <w:r>
        <w:rPr>
          <w:rFonts w:hint="eastAsia" w:ascii="方正小标宋_GBK" w:eastAsia="方正小标宋_GBK" w:cs="Arial"/>
          <w:sz w:val="44"/>
          <w:szCs w:val="44"/>
          <w:lang w:eastAsia="zh-CN"/>
        </w:rPr>
        <w:t>通用服务器</w:t>
      </w:r>
      <w:r>
        <w:rPr>
          <w:rFonts w:hint="eastAsia" w:ascii="方正小标宋_GBK" w:hAnsi="Calibri" w:eastAsia="方正小标宋_GBK" w:cs="Arial"/>
          <w:sz w:val="44"/>
          <w:szCs w:val="44"/>
        </w:rPr>
        <w:t>封闭式</w:t>
      </w:r>
    </w:p>
    <w:p w14:paraId="6A7F82A2">
      <w:pPr>
        <w:spacing w:line="600" w:lineRule="exact"/>
        <w:jc w:val="center"/>
        <w:rPr>
          <w:rFonts w:ascii="方正小标宋_GBK" w:hAnsi="Calibri" w:eastAsia="方正小标宋_GBK" w:cs="Arial"/>
          <w:sz w:val="44"/>
          <w:szCs w:val="44"/>
        </w:rPr>
      </w:pPr>
      <w:r>
        <w:rPr>
          <w:rFonts w:hint="eastAsia" w:ascii="方正小标宋_GBK" w:hAnsi="Calibri" w:eastAsia="方正小标宋_GBK" w:cs="Arial"/>
          <w:sz w:val="44"/>
          <w:szCs w:val="44"/>
        </w:rPr>
        <w:t>框架协议采购项目采购需求(征求意见稿)</w:t>
      </w:r>
    </w:p>
    <w:p w14:paraId="59B16566">
      <w:pPr>
        <w:spacing w:line="600" w:lineRule="exact"/>
        <w:jc w:val="center"/>
        <w:rPr>
          <w:rFonts w:ascii="方正小标宋_GBK" w:hAnsi="Calibri" w:eastAsia="方正小标宋_GBK" w:cs="Arial"/>
          <w:sz w:val="44"/>
          <w:szCs w:val="44"/>
        </w:rPr>
      </w:pPr>
    </w:p>
    <w:p w14:paraId="0274B47E">
      <w:pPr>
        <w:widowControl/>
        <w:snapToGrid w:val="0"/>
        <w:spacing w:line="500" w:lineRule="atLeas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一、供应商的资格条件</w:t>
      </w:r>
    </w:p>
    <w:p w14:paraId="4B611AA7">
      <w:pPr>
        <w:widowControl/>
        <w:snapToGrid w:val="0"/>
        <w:spacing w:line="500" w:lineRule="atLeast"/>
        <w:ind w:firstLine="640" w:firstLineChars="200"/>
        <w:jc w:val="left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响应供应商必须是响应产品的生产者（制造商）或其授权的唯一供应商，授权供应商参加框架协议采购的必须在响应文件中提供产品生产者（制造商）针对本项目出具的唯一授权函扫描件。</w:t>
      </w:r>
    </w:p>
    <w:p w14:paraId="197B5286">
      <w:pPr>
        <w:widowControl/>
        <w:numPr>
          <w:ilvl w:val="0"/>
          <w:numId w:val="1"/>
        </w:numPr>
        <w:snapToGrid w:val="0"/>
        <w:spacing w:line="500" w:lineRule="atLeas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技术要求</w:t>
      </w:r>
    </w:p>
    <w:p w14:paraId="5F87A6DC">
      <w:pPr>
        <w:widowControl/>
        <w:numPr>
          <w:ilvl w:val="0"/>
          <w:numId w:val="2"/>
        </w:numPr>
        <w:snapToGrid w:val="0"/>
        <w:spacing w:line="500" w:lineRule="atLeast"/>
        <w:ind w:firstLine="640" w:firstLineChars="200"/>
        <w:jc w:val="both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整机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各分包中所列技术参数为该分包最低响应要求，对各分包进行响应时满足最低响应要求即可，“/”符号表示对该处技术参数不做要求。</w:t>
      </w:r>
    </w:p>
    <w:p w14:paraId="0D768F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firstLine="640" w:firstLineChars="200"/>
        <w:jc w:val="both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16"/>
          <w:szCs w:val="16"/>
          <w:u w:val="none"/>
          <w:lang w:val="en-US" w:eastAsia="zh-CN" w:bidi="ar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分包情况如下：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638"/>
        <w:gridCol w:w="2065"/>
        <w:gridCol w:w="977"/>
        <w:gridCol w:w="888"/>
        <w:gridCol w:w="849"/>
        <w:gridCol w:w="866"/>
        <w:gridCol w:w="1193"/>
        <w:gridCol w:w="971"/>
        <w:gridCol w:w="1489"/>
        <w:gridCol w:w="866"/>
        <w:gridCol w:w="2946"/>
      </w:tblGrid>
      <w:tr w14:paraId="6AC9E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70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包号</w:t>
            </w:r>
          </w:p>
        </w:tc>
        <w:tc>
          <w:tcPr>
            <w:tcW w:w="26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02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CPU类型</w:t>
            </w:r>
          </w:p>
        </w:tc>
        <w:tc>
          <w:tcPr>
            <w:tcW w:w="58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4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28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32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CPU频率</w:t>
            </w:r>
          </w:p>
        </w:tc>
        <w:tc>
          <w:tcPr>
            <w:tcW w:w="27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F1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单颗CPU核心数</w:t>
            </w:r>
          </w:p>
        </w:tc>
        <w:tc>
          <w:tcPr>
            <w:tcW w:w="24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E5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</w:t>
            </w:r>
          </w:p>
        </w:tc>
        <w:tc>
          <w:tcPr>
            <w:tcW w:w="28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5E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主板内存槽数量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内存频率</w:t>
            </w:r>
          </w:p>
        </w:tc>
        <w:tc>
          <w:tcPr>
            <w:tcW w:w="31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E0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配置硬盘（SSD）</w:t>
            </w:r>
          </w:p>
        </w:tc>
        <w:tc>
          <w:tcPr>
            <w:tcW w:w="4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1D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配置硬盘（SAS/SATA）</w:t>
            </w:r>
          </w:p>
        </w:tc>
        <w:tc>
          <w:tcPr>
            <w:tcW w:w="40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E0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最高限制单价（元）</w:t>
            </w:r>
          </w:p>
        </w:tc>
        <w:tc>
          <w:tcPr>
            <w:tcW w:w="138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B5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关键部件安全要求</w:t>
            </w:r>
          </w:p>
        </w:tc>
      </w:tr>
      <w:tr w14:paraId="3FDD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2E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CB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鲲鹏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53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8C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 2.6GHz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1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≧24C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16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C7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D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6B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8E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55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6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55DB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5D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8A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鲲鹏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37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6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 2.6GHz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86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27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81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5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B4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AE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30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159A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E9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CF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鲲鹏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B9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EB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 2.6GHz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3F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7A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5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1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23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A4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0C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7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4672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A0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9E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鲲鹏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C3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9A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 2.6GHz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4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9F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9E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70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E0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1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A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4998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9C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7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鲲鹏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B1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1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 2.6GHz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E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60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≧128GB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4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24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B5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9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A9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48EF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45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6D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鲲鹏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5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2A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 2.6GHz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2C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≧40C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D6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≧128GB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62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B1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69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64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FB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358F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BD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13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鲲鹏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C9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机架式4U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3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 2.6GHz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5E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19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≧128GB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5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D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E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08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D8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38697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F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2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鲲鹏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C1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机架式4U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58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 2.6GHz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84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EC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≧128GB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0A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9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E8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CD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48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445E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53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66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6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1路CPU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D3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≧2.5GHz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FA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≧16C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4E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BE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3D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EA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1A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CF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299C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0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9B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C9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1路CPU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88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≧2.5GHz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C6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≧16C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43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6F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≧4800MHz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8A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B9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F6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0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0B6C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B3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57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77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1路CPU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F9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≧2.4GHz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B5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≧24C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00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67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ED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≧4800MHz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E1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A9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E0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DD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31D9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7A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DF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海光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18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1路CPU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45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≧2.5GHz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0D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≧32C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40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C7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8D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≧4800MHz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EB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17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43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84700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1E0A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F6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3C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海光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3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52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≧2.5GHz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1D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≧16C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42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A1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7E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E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CD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77300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6A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265B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DC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C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FF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F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≧2.2GHz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8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≧24C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1E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A5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D2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7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3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5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5E04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7C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D5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EB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A4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≧2.2GHz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94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32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CD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B6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3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96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F7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5A3D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2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5F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C4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36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≧2.5GHz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A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≧16C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F0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E3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≧4800MHz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C6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D4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03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B3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1BEC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BC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7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A3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66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≧2.4GHz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0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≧24C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59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79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≧4800MHz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20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8C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26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F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4C3E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F2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B5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81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18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≧2.5GHz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71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ED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E6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≧4800MHz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1A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90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B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81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4F26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8F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C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0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E7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≧2.1GHz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36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CE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89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≧4800MHz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C7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6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63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A1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7991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E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67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C8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C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≧2.0GHz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58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62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87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≧4800MHz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55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01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25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A1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361E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10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D7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0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88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≧2.6GHz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F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≧28C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81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32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≧5200MHz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3D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6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FF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C3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3138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D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2D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11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机架式4U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6D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≧2.5GHz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54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7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97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≧5200MHz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CF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91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CE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FC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51EE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EF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2A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D5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机架式4U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3A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≧2.5GHz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46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≧16C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D4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5F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7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≧5200MHz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34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4C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C2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40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1F8D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BF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7D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海光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F6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43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≧2.6GHz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3A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≧48C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B2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21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59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≧4800MHz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B4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EA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2A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197000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E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70DC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AE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A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飞腾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8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1路CPU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7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≧2.2GHz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46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≧64C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4D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82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≥8个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≧2666MHz</w:t>
            </w: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D0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06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E4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4C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0E3E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8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4F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飞腾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21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7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≧2.1GHz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95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A0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E7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D05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3A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B5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D8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7A07E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EB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01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飞腾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CD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58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≧2.3GHz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C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F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B7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BC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F3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A4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B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521A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8B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68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飞腾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35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67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≧2.1GHz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29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≧48C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5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FD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≧4000MHz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21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2A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EB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0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438D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0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8B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飞腾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88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47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≧2.1GHz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6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2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D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≧4000MHz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9A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AA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BB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7B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20A6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4A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87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飞腾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C4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28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≧2.6GHz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F4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≧80C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B3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46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≧4000MHz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64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51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B8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F6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1288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A5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F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飞腾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EF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4路CPU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1F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≧2.3GHz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9B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93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EF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71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BA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B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96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5742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FE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8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飞腾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B0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机架式4U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50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≧2.1GHz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0E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B2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E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≧4000MHz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C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B0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46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0B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1925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D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8E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兆芯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94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1路CPU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29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≧2.0GHz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20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37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02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B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4A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3D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4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2CF7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1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58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兆芯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D1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5D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≧2.2GHz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46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≧16C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DE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D5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A7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FC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1F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45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56C5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9B9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79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兆芯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E9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E2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≧2.0GHz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47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41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A4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EC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B3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A5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85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5E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50C76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FC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D7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兆芯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77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机架式4U  2路CPU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0B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≧2.0GHz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C5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≧32C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87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C5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≥8个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75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76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FE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85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108000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9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52CD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E0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1B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龙芯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89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7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≧2.0GHz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B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≧16C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48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7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≥8个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E29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23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1B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55000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CC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04FD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B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E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龙芯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C2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6B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≧2.0GHz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7F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53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3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963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5A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4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58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60A2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1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92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申威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BB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8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≧2.4GHz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F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9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39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00BF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A6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F6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39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78FC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76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3A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申威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59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75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≧2.4GHz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6F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C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≧128GB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55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CC4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≧2*960GB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65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0F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8E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744E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E6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0D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申威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3F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F7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≧2.0GHz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C4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D0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≧128GB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A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20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9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CB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62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0647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A3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E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申威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78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36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≧2.0GHz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30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8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≧256GB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8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B2B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≧2*960GB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16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≧4T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EA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150000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EF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CPU和操作系统等关键部件应当符合安全可靠测评要求</w:t>
            </w:r>
          </w:p>
        </w:tc>
      </w:tr>
      <w:tr w14:paraId="33BA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04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6B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AMD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FA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1路CPU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93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≥2.4Ghz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54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≥96C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F5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1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≥4800MHz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6D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CC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39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93,090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FA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FF3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8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1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6C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DA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≥2.0Ghz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CD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≥60C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F8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B1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≥5600MHz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54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6D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3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F2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361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B5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FD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C7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DD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≥2.1Ghz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E0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≥48C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C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F5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≥5600MHz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31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03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0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34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7EA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C7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F7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57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D9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≥2.5Ghz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88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D1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1D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≥5600MHz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FA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7A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BA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B5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120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06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05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D19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4FE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≥2.7Ghz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EA4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≥48C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9D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ED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40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≥5600MHz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D6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4B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0B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023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51D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FA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9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958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BBF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≥2.9Ghz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00F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≥24C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F1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2F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7F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≥5600MHz</w:t>
            </w: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D5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98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09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105,000 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0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FCE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B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E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B9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18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≥2.0 Ghz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CE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≥12C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EC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0F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≥4800MHz</w:t>
            </w: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D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85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1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45,000 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36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8F2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D5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80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06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DD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≥2.0 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C4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06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1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≥4800MHz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C8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ED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5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7A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1AC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4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F8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FC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37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≥2.1Ghz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2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73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E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≥4800MHz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CF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AF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A4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39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7A8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86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D2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AMD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9F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7F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≥2.25Ghz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BF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≥128C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3F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04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9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≥4800MHz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9F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4E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EB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1A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310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34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4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AMD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B8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DA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≥2.4Ghz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E4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≥96C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F4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C3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≥4800MHz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A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B6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DC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F4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25D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E5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7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AMD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93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4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≥3.1Ghz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FD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≥64 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0A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5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F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≥4800MHz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1E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2F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0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14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74B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41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3D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53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FC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2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≥28C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6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3C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63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2D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FE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71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4B1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2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9A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AMD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37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4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8B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≥64C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6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51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D1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EE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25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FE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4F8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87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A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51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E3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F6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≥32C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C3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CF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22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E7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32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E4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9AE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9A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C1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12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5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≥2.1Ghz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5B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≥12C 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FE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F4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9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C5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94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DC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79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2DD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9A7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74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21B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2D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≥2.1Ghz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58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≥24C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F7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07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06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4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21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B8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429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C75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17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AB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AMD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09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A8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≥2.4Ghz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0B6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≥96C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E4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80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C1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≥3200MHz</w:t>
            </w: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31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3A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5E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120,000 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9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791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D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AC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A7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05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≥2.6Ghz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30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≥32C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E4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5E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≥3200MHz</w:t>
            </w: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BB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9E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82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141,000 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5D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18E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57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B0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AMD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E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D8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≥3.25Ghz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FF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≥32C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98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B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14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79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F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B2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116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5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F4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62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4路CPU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0E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≥2.2Ghz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D0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≥18C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3B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≥128G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B1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≥48个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1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C4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8C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F1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DB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932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AB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C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E5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机架式2U  4路CPU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5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≥2.4Ghz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06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49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≥128GB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C1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≥4800MHz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58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28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E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B0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EE1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A0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2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2E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机架式4U  2路CPU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2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≥2.4Ghz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29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≥32C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4F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≥64GB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2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≥3200MHz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AE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BE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18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E6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5B3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8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F2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8C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机架式4U  4路CPU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DA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≥2.1Ghz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6F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≥24C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08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≥128GB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BF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≥4800MHz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48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0E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77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5E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3AB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9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CC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47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机架式4U  4路CPU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05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≥2.2Ghz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93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≥18C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F1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≥128G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78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≥48个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≥4800MHz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AF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3E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89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220,000 </w:t>
            </w:r>
          </w:p>
        </w:tc>
        <w:tc>
          <w:tcPr>
            <w:tcW w:w="1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75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562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36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BAF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3D82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机架式4U  4路CPU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587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≥2.4Ghz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2243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≥32C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0DF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≥128GB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47B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DA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≥3200MHz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CFD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≧2*480GB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7EA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≧2T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E71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160,000 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479E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31D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15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B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备注：1.支持硬盘盘位要求：≧8*2.5英寸/3.5英寸；支持硬盘接口要求：SSD SATA/SAS/NVMe、HDD SAS/SATA；支持硬盘转速要求：HDD SAS/SATA ≧7200转、SSD SAS ≥12Gb/s、SSD SATA ≥6Gb/s；阵列卡要求：支持RAID0,1,10,5,50,6,60掉电保护，≥2GB缓存；网络控制器要求：≥4*GE；远程管理要求：BMC远程端口；电源数量要求：双电源。2.其他未列参数需满足财政部《通用服务器政府采购需求标准（2023年版）》中规定的加“*”内容。</w:t>
            </w:r>
          </w:p>
        </w:tc>
      </w:tr>
    </w:tbl>
    <w:p w14:paraId="798390E4">
      <w:pPr>
        <w:widowControl/>
        <w:numPr>
          <w:ilvl w:val="0"/>
          <w:numId w:val="0"/>
        </w:numPr>
        <w:snapToGrid w:val="0"/>
        <w:spacing w:line="500" w:lineRule="atLeast"/>
        <w:ind w:leftChars="200"/>
        <w:jc w:val="both"/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 w14:paraId="359431BF">
      <w:pPr>
        <w:widowControl/>
        <w:numPr>
          <w:ilvl w:val="0"/>
          <w:numId w:val="0"/>
        </w:numPr>
        <w:snapToGrid w:val="0"/>
        <w:spacing w:line="500" w:lineRule="atLeast"/>
        <w:jc w:val="both"/>
        <w:rPr>
          <w:rFonts w:hint="eastAsia" w:ascii="仿宋_GB2312" w:hAnsi="仿宋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2.按照通用服务器配件表列出的配件进行报价。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401"/>
        <w:gridCol w:w="3924"/>
        <w:gridCol w:w="1769"/>
        <w:gridCol w:w="665"/>
      </w:tblGrid>
      <w:tr w14:paraId="77A4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8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通用服务器配件表</w:t>
            </w:r>
          </w:p>
        </w:tc>
      </w:tr>
      <w:tr w14:paraId="4BF6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8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C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</w:t>
            </w:r>
          </w:p>
        </w:tc>
      </w:tr>
      <w:tr w14:paraId="721B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5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1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 DDR4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6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</w:t>
            </w:r>
          </w:p>
        </w:tc>
      </w:tr>
      <w:tr w14:paraId="2204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4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32G DDR4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D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8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F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D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64G DDR4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B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2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2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C5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 DDR5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0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D9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D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4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32G DDR5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D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3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D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9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64G DDR5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F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10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5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96G DDR5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8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1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97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600G(10000转)SAS 2.5寸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9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A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A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1.2TB(10000转)SAS 2.5寸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9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0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0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E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1.8TB(10000转)SAS 2.5寸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1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88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B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2.4TB(10000转)SAS 2.5寸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3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5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A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E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4T(7200转) NL-SAS/SATA 3.5寸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F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1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5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C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6T(7200转) NL-SAS/SATA 3.5寸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4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F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3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5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7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8T(7200转) NL-SAS/SATA 3.5寸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A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2F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D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4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E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12T(7200转) NL-SAS/SATA 3.5寸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7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2C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B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D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14T(7200转) NL-SAS/SATA 3.5寸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0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77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7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E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16T(7200转) NL-SAS/SATA 3.5寸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D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B1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0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3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18T(7200转) NL-SAS/SATA 3.5寸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F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2A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6C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E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20T(7200转) NL-SAS/SATA 3.5寸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0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A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4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A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22T(7200转) NL-SAS/SATA 3.5寸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6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8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0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6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24T(7200转) NL-SAS/SATA 3.5寸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B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6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2C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480G SATA SSD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6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1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5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AC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960G SATA SSD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C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9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A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5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0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1.92T SATA SSD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1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A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4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8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3.84T SATA SSD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6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B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F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16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1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7.68T SATA SSD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E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1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9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B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15.36TB SAS SSD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9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4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1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F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C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480G NVMe SSD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E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E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5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960G NVMe SSD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6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A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F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6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1.92T NVMe SSD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8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8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03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A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3.84T NVMe SSD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6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9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A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2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7.68T NVMe SSD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7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5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9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A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15.36T NVMe SSD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E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F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2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1GB双电口以太网卡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9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1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9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E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5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1GB四电口以太网卡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B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C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76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3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10GB双电口以太网卡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F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1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B9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10GB双光口以太网卡（含2个多模光模块）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E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0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C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A3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25GB双光口以太网卡（含2个多模光模块）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8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9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12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2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HBA卡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16G单口HBA卡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5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8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A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F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16G双口HBA卡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6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E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9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D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32G单口HBA卡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1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3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0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33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04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32G双口HBA卡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7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E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国芯GPU卡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4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16GB GPU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3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F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5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C9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24GB GPU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E2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49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64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2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32GB GPU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D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4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2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29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48GB GPU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C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0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D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F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8C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963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64GB GPU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7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B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0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商用GPU卡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8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48GB GPU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A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9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E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4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5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16GB GPU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5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6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1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3B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8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24GB GPU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9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2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6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B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64GB GPU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B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9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9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0C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A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24GB GPU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F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7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0CD4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三、商务要求</w:t>
      </w:r>
    </w:p>
    <w:p w14:paraId="68BF446E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1.供货时间地点：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7日内在指定地点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交货并完成安装调试。</w:t>
      </w:r>
    </w:p>
    <w:p w14:paraId="3AF12AC3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.付款要求：货到安装且验收合格后，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30日内完成付款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。</w:t>
      </w:r>
    </w:p>
    <w:p w14:paraId="04F74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服务要求</w:t>
      </w:r>
    </w:p>
    <w:p w14:paraId="36CD353A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Arial"/>
          <w:sz w:val="32"/>
          <w:szCs w:val="32"/>
        </w:rPr>
        <w:t>供应商需提供完善的售后服务，包括但不限于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软件安装、系统安装、外设适配、数据迁移</w:t>
      </w:r>
      <w:r>
        <w:rPr>
          <w:rFonts w:hint="eastAsia" w:ascii="仿宋_GB2312" w:hAnsi="仿宋" w:eastAsia="仿宋_GB2312" w:cs="Arial"/>
          <w:sz w:val="32"/>
          <w:szCs w:val="32"/>
        </w:rPr>
        <w:t>等。供应商需承诺在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通用服务器</w:t>
      </w:r>
      <w:r>
        <w:rPr>
          <w:rFonts w:hint="eastAsia" w:ascii="仿宋_GB2312" w:hAnsi="仿宋" w:eastAsia="仿宋_GB2312" w:cs="Arial"/>
          <w:sz w:val="32"/>
          <w:szCs w:val="32"/>
        </w:rPr>
        <w:t>出现问题时，2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Arial"/>
          <w:sz w:val="32"/>
          <w:szCs w:val="32"/>
        </w:rPr>
        <w:t>小时内响应并解决问题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，否则提供备机。</w:t>
      </w:r>
      <w:r>
        <w:rPr>
          <w:rFonts w:hint="eastAsia" w:ascii="仿宋_GB2312" w:hAnsi="仿宋" w:eastAsia="仿宋_GB2312" w:cs="Arial"/>
          <w:sz w:val="32"/>
          <w:szCs w:val="32"/>
        </w:rPr>
        <w:t xml:space="preserve"> </w:t>
      </w:r>
    </w:p>
    <w:p w14:paraId="39AD1298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2、各响应产品需提供整机原厂三年售后维保及三年上门售后服务。</w:t>
      </w:r>
    </w:p>
    <w:p w14:paraId="16A69645">
      <w:pPr>
        <w:widowControl/>
        <w:snapToGrid w:val="0"/>
        <w:spacing w:line="500" w:lineRule="atLeas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、其他补充事宜</w:t>
      </w:r>
    </w:p>
    <w:p w14:paraId="06C3D0DF">
      <w:pPr>
        <w:widowControl/>
        <w:snapToGrid w:val="0"/>
        <w:spacing w:line="500" w:lineRule="atLeast"/>
        <w:ind w:firstLine="640" w:firstLineChars="200"/>
        <w:jc w:val="left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1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 w:cs="Arial"/>
          <w:sz w:val="32"/>
          <w:szCs w:val="32"/>
        </w:rPr>
        <w:t>需提供和所报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通用服务器</w:t>
      </w:r>
      <w:r>
        <w:rPr>
          <w:rFonts w:hint="eastAsia" w:ascii="仿宋_GB2312" w:hAnsi="仿宋" w:eastAsia="仿宋_GB2312" w:cs="Arial"/>
          <w:sz w:val="32"/>
          <w:szCs w:val="32"/>
        </w:rPr>
        <w:t>型号一致的产品在售证明（发票或合同）。</w:t>
      </w:r>
    </w:p>
    <w:p w14:paraId="645F2F79">
      <w:pPr>
        <w:widowControl/>
        <w:snapToGrid w:val="0"/>
        <w:spacing w:line="500" w:lineRule="atLeast"/>
        <w:ind w:firstLine="640" w:firstLineChars="200"/>
        <w:jc w:val="left"/>
        <w:rPr>
          <w:rFonts w:ascii="仿宋_GB2312" w:hAnsi="仿宋" w:eastAsia="仿宋_GB2312" w:cs="Arial"/>
          <w:sz w:val="32"/>
          <w:szCs w:val="32"/>
        </w:rPr>
      </w:pPr>
      <w:r>
        <w:rPr>
          <w:rFonts w:ascii="仿宋_GB2312" w:hAnsi="仿宋" w:eastAsia="仿宋_GB2312" w:cs="Arial"/>
          <w:sz w:val="32"/>
          <w:szCs w:val="32"/>
        </w:rPr>
        <w:t>2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.</w:t>
      </w:r>
      <w:r>
        <w:rPr>
          <w:rFonts w:ascii="仿宋_GB2312" w:hAnsi="仿宋" w:eastAsia="仿宋_GB2312" w:cs="Arial"/>
          <w:sz w:val="32"/>
          <w:szCs w:val="32"/>
        </w:rPr>
        <w:t>每个采购包只能用一个产品进行响应，且应当是市场上已有销售的规格型号。</w:t>
      </w:r>
    </w:p>
    <w:p w14:paraId="1C74D74C">
      <w:pPr>
        <w:widowControl/>
        <w:snapToGrid w:val="0"/>
        <w:spacing w:line="500" w:lineRule="atLeast"/>
        <w:ind w:firstLine="640" w:firstLineChars="200"/>
        <w:jc w:val="left"/>
        <w:rPr>
          <w:rFonts w:ascii="仿宋_GB2312" w:hAnsi="仿宋" w:eastAsia="仿宋_GB2312" w:cs="Arial"/>
          <w:sz w:val="32"/>
          <w:szCs w:val="32"/>
        </w:rPr>
      </w:pPr>
      <w:r>
        <w:rPr>
          <w:rFonts w:ascii="仿宋_GB2312" w:hAnsi="仿宋" w:eastAsia="仿宋_GB2312" w:cs="Arial"/>
          <w:sz w:val="32"/>
          <w:szCs w:val="32"/>
        </w:rPr>
        <w:t>3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.同</w:t>
      </w:r>
      <w:r>
        <w:rPr>
          <w:rFonts w:ascii="仿宋_GB2312" w:hAnsi="仿宋" w:eastAsia="仿宋_GB2312" w:cs="Arial"/>
          <w:sz w:val="32"/>
          <w:szCs w:val="32"/>
        </w:rPr>
        <w:t>一配置的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通用服务器</w:t>
      </w:r>
      <w:r>
        <w:rPr>
          <w:rFonts w:ascii="仿宋_GB2312" w:hAnsi="仿宋" w:eastAsia="仿宋_GB2312" w:cs="Arial"/>
          <w:sz w:val="32"/>
          <w:szCs w:val="32"/>
        </w:rPr>
        <w:t>如响应两个及以上的采购包，报价需一致，否则按无效响应处理。</w:t>
      </w:r>
    </w:p>
    <w:p w14:paraId="55C39781">
      <w:pPr>
        <w:widowControl/>
        <w:snapToGrid w:val="0"/>
        <w:spacing w:line="500" w:lineRule="atLeast"/>
        <w:ind w:firstLine="640" w:firstLineChars="200"/>
        <w:jc w:val="left"/>
        <w:rPr>
          <w:rFonts w:ascii="仿宋_GB2312" w:hAnsi="仿宋" w:eastAsia="仿宋_GB2312" w:cs="Arial"/>
          <w:sz w:val="32"/>
          <w:szCs w:val="32"/>
        </w:rPr>
      </w:pPr>
      <w:r>
        <w:rPr>
          <w:rFonts w:ascii="仿宋_GB2312" w:hAnsi="仿宋" w:eastAsia="仿宋_GB2312" w:cs="Arial"/>
          <w:sz w:val="32"/>
          <w:szCs w:val="32"/>
        </w:rPr>
        <w:t>4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.</w:t>
      </w:r>
      <w:r>
        <w:rPr>
          <w:rFonts w:ascii="仿宋_GB2312" w:hAnsi="仿宋" w:eastAsia="仿宋_GB2312" w:cs="Arial"/>
          <w:sz w:val="32"/>
          <w:szCs w:val="32"/>
        </w:rPr>
        <w:t>商标相同但生产企业不同，若生产企业间无控股、管理关系，且产品销售、售后体系相互独立的，可视为不同品牌。</w:t>
      </w:r>
    </w:p>
    <w:p w14:paraId="5C01B7F1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适用范围。本次框架协议采购人的范围是山西省各级党政机关、事业单位及团体组织。</w:t>
      </w:r>
    </w:p>
    <w:p w14:paraId="1A32D481">
      <w:pPr>
        <w:widowControl/>
        <w:snapToGrid w:val="0"/>
        <w:spacing w:line="500" w:lineRule="atLeast"/>
        <w:ind w:firstLine="640" w:firstLineChars="200"/>
        <w:jc w:val="left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框架协议期限。本次框架协议期从本框架协议签定之日起一年。</w:t>
      </w:r>
    </w:p>
    <w:p w14:paraId="7FED4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color w:val="auto"/>
          <w:sz w:val="32"/>
          <w:szCs w:val="32"/>
          <w:u w:val="none"/>
          <w:lang w:val="en" w:eastAsia="zh-CN"/>
        </w:rPr>
      </w:pPr>
    </w:p>
    <w:p w14:paraId="6D6D13B5"/>
    <w:p w14:paraId="3B048908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610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D2D51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D2D51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C67FD1"/>
    <w:multiLevelType w:val="singleLevel"/>
    <w:tmpl w:val="A7C67F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7C1492"/>
    <w:multiLevelType w:val="singleLevel"/>
    <w:tmpl w:val="F77C14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F2B68"/>
    <w:rsid w:val="DF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2025-12-10T16:08:00Z</dcterms:created>
  <dc:creator>李菁</dc:creator>
  <cp:lastModifiedBy>李菁</cp:lastModifiedBy>
  <dcterms:modified xsi:type="dcterms:W3CDTF">2025-12-10T16:09:32Z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A61B1F7AB341282C7A2A3969D3FC3372_41</vt:lpwstr>
  </property>
</Properties>
</file>